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2"/>
        <w:gridCol w:w="4280"/>
      </w:tblGrid>
      <w:tr w:rsidR="006A701A" w:rsidRPr="008C7038" w14:paraId="53E641A2" w14:textId="77777777" w:rsidTr="008C7038">
        <w:trPr>
          <w:trHeight w:val="1611"/>
        </w:trPr>
        <w:tc>
          <w:tcPr>
            <w:tcW w:w="6552" w:type="dxa"/>
          </w:tcPr>
          <w:p w14:paraId="6E29AC02" w14:textId="77777777" w:rsidR="006A701A" w:rsidRPr="00103801" w:rsidRDefault="006A701A" w:rsidP="00EA0061">
            <w:pPr>
              <w:pStyle w:val="Nagwek2"/>
              <w:spacing w:before="0"/>
              <w:ind w:left="62"/>
              <w:rPr>
                <w:rFonts w:ascii="Times New Roman" w:hAnsi="Times New Roman" w:cs="Times New Roman"/>
                <w:color w:val="auto"/>
                <w:sz w:val="24"/>
                <w:szCs w:val="24"/>
              </w:rPr>
            </w:pPr>
            <w:bookmarkStart w:id="0" w:name="t1"/>
            <w:r w:rsidRPr="00103801">
              <w:rPr>
                <w:rFonts w:ascii="Times New Roman" w:hAnsi="Times New Roman" w:cs="Times New Roman"/>
                <w:color w:val="auto"/>
                <w:sz w:val="24"/>
                <w:szCs w:val="24"/>
              </w:rPr>
              <w:t xml:space="preserve">Nazwa </w:t>
            </w:r>
            <w:r w:rsidR="001B75D8" w:rsidRPr="00103801">
              <w:rPr>
                <w:rFonts w:ascii="Times New Roman" w:hAnsi="Times New Roman" w:cs="Times New Roman"/>
                <w:color w:val="auto"/>
                <w:sz w:val="24"/>
                <w:szCs w:val="24"/>
              </w:rPr>
              <w:t>projektu</w:t>
            </w:r>
          </w:p>
          <w:p w14:paraId="4FB8ABEE" w14:textId="3AFD85E8" w:rsidR="00957275" w:rsidRPr="008C7038" w:rsidRDefault="00957275" w:rsidP="00EA0061">
            <w:pPr>
              <w:spacing w:after="120"/>
              <w:ind w:left="63"/>
              <w:rPr>
                <w:rFonts w:ascii="Times New Roman" w:hAnsi="Times New Roman" w:cs="Times New Roman"/>
                <w:b/>
                <w:sz w:val="24"/>
                <w:szCs w:val="24"/>
              </w:rPr>
            </w:pPr>
            <w:r w:rsidRPr="008C7038">
              <w:rPr>
                <w:rFonts w:ascii="Times New Roman" w:hAnsi="Times New Roman" w:cs="Times New Roman"/>
                <w:sz w:val="24"/>
                <w:szCs w:val="24"/>
              </w:rPr>
              <w:t xml:space="preserve">Projekt ustawy o </w:t>
            </w:r>
            <w:r w:rsidR="00911F11" w:rsidRPr="008C7038">
              <w:rPr>
                <w:rFonts w:ascii="Times New Roman" w:hAnsi="Times New Roman" w:cs="Times New Roman"/>
                <w:sz w:val="24"/>
                <w:szCs w:val="24"/>
              </w:rPr>
              <w:t xml:space="preserve">elektronizacji doręczeń </w:t>
            </w:r>
            <w:r w:rsidR="00F73610" w:rsidRPr="008C7038">
              <w:rPr>
                <w:rFonts w:ascii="Times New Roman" w:hAnsi="Times New Roman" w:cs="Times New Roman"/>
                <w:sz w:val="24"/>
                <w:szCs w:val="24"/>
              </w:rPr>
              <w:t xml:space="preserve">oraz </w:t>
            </w:r>
            <w:r w:rsidR="00C16485">
              <w:rPr>
                <w:rFonts w:ascii="Times New Roman" w:hAnsi="Times New Roman" w:cs="Times New Roman"/>
                <w:sz w:val="24"/>
                <w:szCs w:val="24"/>
              </w:rPr>
              <w:t xml:space="preserve">o </w:t>
            </w:r>
            <w:r w:rsidR="00F73610" w:rsidRPr="008C7038">
              <w:rPr>
                <w:rFonts w:ascii="Times New Roman" w:hAnsi="Times New Roman" w:cs="Times New Roman"/>
                <w:sz w:val="24"/>
                <w:szCs w:val="24"/>
              </w:rPr>
              <w:t xml:space="preserve">zmianie </w:t>
            </w:r>
            <w:r w:rsidR="00543363" w:rsidRPr="008C7038">
              <w:rPr>
                <w:rFonts w:ascii="Times New Roman" w:hAnsi="Times New Roman" w:cs="Times New Roman"/>
                <w:sz w:val="24"/>
                <w:szCs w:val="24"/>
              </w:rPr>
              <w:t xml:space="preserve">niektórych </w:t>
            </w:r>
            <w:r w:rsidRPr="008C7038">
              <w:rPr>
                <w:rFonts w:ascii="Times New Roman" w:hAnsi="Times New Roman" w:cs="Times New Roman"/>
                <w:sz w:val="24"/>
                <w:szCs w:val="24"/>
              </w:rPr>
              <w:t>innych ustaw</w:t>
            </w:r>
          </w:p>
          <w:p w14:paraId="7AA8B62E" w14:textId="77777777" w:rsidR="006A701A" w:rsidRPr="008C7038" w:rsidRDefault="006A701A" w:rsidP="00EA0061">
            <w:pPr>
              <w:ind w:left="62"/>
              <w:rPr>
                <w:rFonts w:ascii="Times New Roman" w:hAnsi="Times New Roman" w:cs="Times New Roman"/>
                <w:b/>
                <w:sz w:val="24"/>
                <w:szCs w:val="24"/>
              </w:rPr>
            </w:pPr>
            <w:r w:rsidRPr="008C7038">
              <w:rPr>
                <w:rFonts w:ascii="Times New Roman" w:hAnsi="Times New Roman" w:cs="Times New Roman"/>
                <w:b/>
                <w:sz w:val="24"/>
                <w:szCs w:val="24"/>
              </w:rPr>
              <w:t>Ministerstwo wiodące i ministerstwa współpracujące</w:t>
            </w:r>
          </w:p>
          <w:p w14:paraId="3561F20E" w14:textId="77777777" w:rsidR="003A56B7" w:rsidRPr="008C7038" w:rsidRDefault="003A56B7" w:rsidP="00EA0061">
            <w:pPr>
              <w:ind w:left="62"/>
              <w:rPr>
                <w:rFonts w:ascii="Times New Roman" w:hAnsi="Times New Roman" w:cs="Times New Roman"/>
                <w:sz w:val="24"/>
                <w:szCs w:val="24"/>
              </w:rPr>
            </w:pPr>
            <w:r w:rsidRPr="008C7038">
              <w:rPr>
                <w:rFonts w:ascii="Times New Roman" w:hAnsi="Times New Roman" w:cs="Times New Roman"/>
                <w:sz w:val="24"/>
                <w:szCs w:val="24"/>
              </w:rPr>
              <w:t>Ministerstwo Cyfryzacji</w:t>
            </w:r>
            <w:bookmarkEnd w:id="0"/>
          </w:p>
          <w:p w14:paraId="098FD9EE" w14:textId="77777777" w:rsidR="00A42CFC" w:rsidRPr="008C7038" w:rsidRDefault="00A42CFC" w:rsidP="00EA0061">
            <w:pPr>
              <w:spacing w:after="120"/>
              <w:ind w:left="63"/>
              <w:rPr>
                <w:rFonts w:ascii="Times New Roman" w:hAnsi="Times New Roman" w:cs="Times New Roman"/>
                <w:sz w:val="24"/>
                <w:szCs w:val="24"/>
              </w:rPr>
            </w:pPr>
            <w:r w:rsidRPr="008C7038">
              <w:rPr>
                <w:rFonts w:ascii="Times New Roman" w:hAnsi="Times New Roman" w:cs="Times New Roman"/>
                <w:sz w:val="24"/>
                <w:szCs w:val="24"/>
              </w:rPr>
              <w:t>Ministerstwo Infrastruktury</w:t>
            </w:r>
          </w:p>
          <w:p w14:paraId="6EA846F1" w14:textId="77777777" w:rsidR="001B3460" w:rsidRPr="008C7038" w:rsidRDefault="001B3460" w:rsidP="00EA0061">
            <w:pPr>
              <w:ind w:left="62"/>
              <w:rPr>
                <w:rFonts w:ascii="Times New Roman" w:hAnsi="Times New Roman" w:cs="Times New Roman"/>
                <w:sz w:val="24"/>
                <w:szCs w:val="24"/>
              </w:rPr>
            </w:pPr>
            <w:r w:rsidRPr="008C7038">
              <w:rPr>
                <w:rFonts w:ascii="Times New Roman" w:hAnsi="Times New Roman" w:cs="Times New Roman"/>
                <w:b/>
                <w:sz w:val="24"/>
                <w:szCs w:val="24"/>
              </w:rPr>
              <w:t xml:space="preserve">Osoba odpowiedzialna za projekt w randze Ministra, Sekretarza Stanu lub Podsekretarza Stanu </w:t>
            </w:r>
          </w:p>
          <w:p w14:paraId="48B67054" w14:textId="77777777" w:rsidR="001B3460" w:rsidRPr="008C7038" w:rsidRDefault="00764FB0" w:rsidP="00EA0061">
            <w:pPr>
              <w:spacing w:after="120"/>
              <w:ind w:left="62"/>
              <w:rPr>
                <w:rFonts w:ascii="Times New Roman" w:hAnsi="Times New Roman" w:cs="Times New Roman"/>
                <w:sz w:val="24"/>
                <w:szCs w:val="24"/>
              </w:rPr>
            </w:pPr>
            <w:r w:rsidRPr="008C7038">
              <w:rPr>
                <w:rFonts w:ascii="Times New Roman" w:hAnsi="Times New Roman" w:cs="Times New Roman"/>
                <w:sz w:val="24"/>
                <w:szCs w:val="24"/>
              </w:rPr>
              <w:t>Marek Zagórski</w:t>
            </w:r>
            <w:r w:rsidR="00957275" w:rsidRPr="008C7038">
              <w:rPr>
                <w:rFonts w:ascii="Times New Roman" w:hAnsi="Times New Roman" w:cs="Times New Roman"/>
                <w:sz w:val="24"/>
                <w:szCs w:val="24"/>
              </w:rPr>
              <w:t xml:space="preserve">, </w:t>
            </w:r>
            <w:r w:rsidR="00E557D3" w:rsidRPr="008C7038">
              <w:rPr>
                <w:rFonts w:ascii="Times New Roman" w:hAnsi="Times New Roman" w:cs="Times New Roman"/>
                <w:sz w:val="24"/>
                <w:szCs w:val="24"/>
              </w:rPr>
              <w:t>Minister</w:t>
            </w:r>
            <w:r w:rsidR="00F709FE" w:rsidRPr="008C7038">
              <w:rPr>
                <w:rFonts w:ascii="Times New Roman" w:hAnsi="Times New Roman" w:cs="Times New Roman"/>
                <w:sz w:val="24"/>
                <w:szCs w:val="24"/>
              </w:rPr>
              <w:t xml:space="preserve"> </w:t>
            </w:r>
            <w:r w:rsidR="004E1B7A" w:rsidRPr="008C7038">
              <w:rPr>
                <w:rFonts w:ascii="Times New Roman" w:hAnsi="Times New Roman" w:cs="Times New Roman"/>
                <w:sz w:val="24"/>
                <w:szCs w:val="24"/>
              </w:rPr>
              <w:t>Cyfryzacji</w:t>
            </w:r>
          </w:p>
          <w:p w14:paraId="1A002C32" w14:textId="77777777" w:rsidR="006A701A" w:rsidRPr="008C7038" w:rsidRDefault="006A701A" w:rsidP="00EA0061">
            <w:pPr>
              <w:ind w:left="62"/>
              <w:rPr>
                <w:rFonts w:ascii="Times New Roman" w:hAnsi="Times New Roman" w:cs="Times New Roman"/>
                <w:b/>
                <w:sz w:val="24"/>
                <w:szCs w:val="24"/>
              </w:rPr>
            </w:pPr>
            <w:r w:rsidRPr="008C7038">
              <w:rPr>
                <w:rFonts w:ascii="Times New Roman" w:hAnsi="Times New Roman" w:cs="Times New Roman"/>
                <w:b/>
                <w:sz w:val="24"/>
                <w:szCs w:val="24"/>
              </w:rPr>
              <w:t>Kontakt do opiekuna merytorycznego projektu</w:t>
            </w:r>
          </w:p>
          <w:p w14:paraId="13AC404D" w14:textId="77777777" w:rsidR="006A701A" w:rsidRPr="008C7038" w:rsidRDefault="00957275" w:rsidP="00EA0061">
            <w:pPr>
              <w:spacing w:after="120"/>
              <w:ind w:left="63"/>
              <w:rPr>
                <w:rFonts w:ascii="Times New Roman" w:hAnsi="Times New Roman" w:cs="Times New Roman"/>
                <w:sz w:val="24"/>
                <w:szCs w:val="24"/>
              </w:rPr>
            </w:pPr>
            <w:r w:rsidRPr="008C7038">
              <w:rPr>
                <w:rFonts w:ascii="Times New Roman" w:hAnsi="Times New Roman" w:cs="Times New Roman"/>
                <w:sz w:val="24"/>
                <w:szCs w:val="24"/>
              </w:rPr>
              <w:t xml:space="preserve">Sylwester Szczepaniak, </w:t>
            </w:r>
            <w:r w:rsidR="00F32CE7" w:rsidRPr="008C7038">
              <w:rPr>
                <w:rFonts w:ascii="Times New Roman" w:hAnsi="Times New Roman" w:cs="Times New Roman"/>
                <w:sz w:val="24"/>
                <w:szCs w:val="24"/>
              </w:rPr>
              <w:t>Zastępca Dyrektora Departamentu Prawnego</w:t>
            </w:r>
            <w:r w:rsidR="004E1B7A" w:rsidRPr="008C7038">
              <w:rPr>
                <w:rFonts w:ascii="Times New Roman" w:hAnsi="Times New Roman" w:cs="Times New Roman"/>
                <w:sz w:val="24"/>
                <w:szCs w:val="24"/>
              </w:rPr>
              <w:t xml:space="preserve">, </w:t>
            </w:r>
            <w:r w:rsidR="00604747" w:rsidRPr="008C7038">
              <w:rPr>
                <w:rFonts w:ascii="Times New Roman" w:hAnsi="Times New Roman" w:cs="Times New Roman"/>
                <w:sz w:val="24"/>
                <w:szCs w:val="24"/>
              </w:rPr>
              <w:t xml:space="preserve">tel. 022  245 58 22, </w:t>
            </w:r>
            <w:r w:rsidR="004E1B7A" w:rsidRPr="008C7038">
              <w:rPr>
                <w:rFonts w:ascii="Times New Roman" w:hAnsi="Times New Roman" w:cs="Times New Roman"/>
                <w:sz w:val="24"/>
                <w:szCs w:val="24"/>
              </w:rPr>
              <w:t>e</w:t>
            </w:r>
            <w:r w:rsidR="00DE7977" w:rsidRPr="008C7038">
              <w:rPr>
                <w:rFonts w:ascii="Times New Roman" w:hAnsi="Times New Roman" w:cs="Times New Roman"/>
                <w:sz w:val="24"/>
                <w:szCs w:val="24"/>
              </w:rPr>
              <w:t>-</w:t>
            </w:r>
            <w:r w:rsidR="004E1B7A" w:rsidRPr="008C7038">
              <w:rPr>
                <w:rFonts w:ascii="Times New Roman" w:hAnsi="Times New Roman" w:cs="Times New Roman"/>
                <w:sz w:val="24"/>
                <w:szCs w:val="24"/>
              </w:rPr>
              <w:t xml:space="preserve">mail: </w:t>
            </w:r>
            <w:hyperlink r:id="rId13" w:history="1">
              <w:r w:rsidR="004E1B7A" w:rsidRPr="008C7038">
                <w:rPr>
                  <w:rStyle w:val="Hipercze"/>
                  <w:rFonts w:ascii="Times New Roman" w:hAnsi="Times New Roman" w:cs="Times New Roman"/>
                  <w:color w:val="auto"/>
                  <w:sz w:val="24"/>
                  <w:szCs w:val="24"/>
                  <w:u w:val="none"/>
                </w:rPr>
                <w:t>sylwester.szczepaniak@mc.gov.pl</w:t>
              </w:r>
            </w:hyperlink>
          </w:p>
        </w:tc>
        <w:tc>
          <w:tcPr>
            <w:tcW w:w="4280" w:type="dxa"/>
            <w:shd w:val="clear" w:color="auto" w:fill="FFFFFF"/>
          </w:tcPr>
          <w:p w14:paraId="522B7E0C" w14:textId="77777777" w:rsidR="001B3460" w:rsidRPr="008C7038" w:rsidRDefault="001B3460" w:rsidP="00DD0E5F">
            <w:pPr>
              <w:spacing w:after="120"/>
              <w:rPr>
                <w:rFonts w:ascii="Times New Roman" w:hAnsi="Times New Roman" w:cs="Times New Roman"/>
                <w:b/>
                <w:sz w:val="24"/>
                <w:szCs w:val="24"/>
              </w:rPr>
            </w:pPr>
            <w:r w:rsidRPr="008C7038">
              <w:rPr>
                <w:rFonts w:ascii="Times New Roman" w:hAnsi="Times New Roman" w:cs="Times New Roman"/>
                <w:b/>
                <w:sz w:val="24"/>
                <w:szCs w:val="24"/>
              </w:rPr>
              <w:t>Data sporządzenia</w:t>
            </w:r>
            <w:r w:rsidRPr="008C7038">
              <w:rPr>
                <w:rFonts w:ascii="Times New Roman" w:hAnsi="Times New Roman" w:cs="Times New Roman"/>
                <w:b/>
                <w:sz w:val="24"/>
                <w:szCs w:val="24"/>
              </w:rPr>
              <w:br/>
            </w:r>
            <w:r w:rsidR="00F47731" w:rsidRPr="008C7038">
              <w:rPr>
                <w:rFonts w:ascii="Times New Roman" w:hAnsi="Times New Roman" w:cs="Times New Roman"/>
                <w:sz w:val="24"/>
                <w:szCs w:val="24"/>
              </w:rPr>
              <w:t>29.01.2019</w:t>
            </w:r>
          </w:p>
          <w:p w14:paraId="3F98424B" w14:textId="77777777" w:rsidR="00F76884" w:rsidRPr="008C7038" w:rsidRDefault="00F76884" w:rsidP="00852C51">
            <w:pPr>
              <w:spacing w:line="257" w:lineRule="auto"/>
              <w:rPr>
                <w:rFonts w:ascii="Times New Roman" w:hAnsi="Times New Roman" w:cs="Times New Roman"/>
                <w:b/>
                <w:sz w:val="24"/>
                <w:szCs w:val="24"/>
              </w:rPr>
            </w:pPr>
            <w:r w:rsidRPr="008C7038">
              <w:rPr>
                <w:rFonts w:ascii="Times New Roman" w:hAnsi="Times New Roman" w:cs="Times New Roman"/>
                <w:b/>
                <w:sz w:val="24"/>
                <w:szCs w:val="24"/>
              </w:rPr>
              <w:t xml:space="preserve">Źródło: </w:t>
            </w:r>
            <w:bookmarkStart w:id="1" w:name="Lista1"/>
          </w:p>
          <w:bookmarkEnd w:id="1"/>
          <w:p w14:paraId="4F340878" w14:textId="77777777" w:rsidR="00F76884" w:rsidRPr="008C7038" w:rsidRDefault="003A56B7" w:rsidP="00852C51">
            <w:pPr>
              <w:spacing w:line="257" w:lineRule="auto"/>
              <w:rPr>
                <w:rFonts w:ascii="Times New Roman" w:hAnsi="Times New Roman" w:cs="Times New Roman"/>
                <w:sz w:val="24"/>
                <w:szCs w:val="24"/>
              </w:rPr>
            </w:pPr>
            <w:r w:rsidRPr="008C7038">
              <w:rPr>
                <w:rFonts w:ascii="Times New Roman" w:hAnsi="Times New Roman" w:cs="Times New Roman"/>
                <w:sz w:val="24"/>
                <w:szCs w:val="24"/>
              </w:rPr>
              <w:t>Inne</w:t>
            </w:r>
          </w:p>
          <w:p w14:paraId="1A1BA3B9" w14:textId="31591011" w:rsidR="004E1B7A" w:rsidRPr="008C7038" w:rsidRDefault="00957275" w:rsidP="00DD0E5F">
            <w:pPr>
              <w:spacing w:after="120"/>
              <w:rPr>
                <w:rFonts w:ascii="Times New Roman" w:hAnsi="Times New Roman" w:cs="Times New Roman"/>
                <w:sz w:val="24"/>
                <w:szCs w:val="24"/>
              </w:rPr>
            </w:pPr>
            <w:r w:rsidRPr="008C7038">
              <w:rPr>
                <w:rFonts w:ascii="Times New Roman" w:hAnsi="Times New Roman" w:cs="Times New Roman"/>
                <w:sz w:val="24"/>
                <w:szCs w:val="24"/>
              </w:rPr>
              <w:t>Strategia na rzecz Odpowiedzialnego Rozwoju (SOR)</w:t>
            </w:r>
            <w:r w:rsidR="00ED5915" w:rsidRPr="008C7038">
              <w:rPr>
                <w:rFonts w:ascii="Times New Roman" w:hAnsi="Times New Roman" w:cs="Times New Roman"/>
                <w:sz w:val="24"/>
                <w:szCs w:val="24"/>
              </w:rPr>
              <w:t>, obszar</w:t>
            </w:r>
            <w:r w:rsidR="00A16CBE" w:rsidRPr="008C7038">
              <w:rPr>
                <w:rFonts w:ascii="Times New Roman" w:hAnsi="Times New Roman" w:cs="Times New Roman"/>
                <w:sz w:val="24"/>
                <w:szCs w:val="24"/>
              </w:rPr>
              <w:t xml:space="preserve"> „</w:t>
            </w:r>
            <w:r w:rsidR="00147E2B" w:rsidRPr="008C7038">
              <w:rPr>
                <w:rFonts w:ascii="Times New Roman" w:hAnsi="Times New Roman" w:cs="Times New Roman"/>
                <w:sz w:val="24"/>
                <w:szCs w:val="24"/>
              </w:rPr>
              <w:t>e</w:t>
            </w:r>
            <w:r w:rsidRPr="008C7038">
              <w:rPr>
                <w:rFonts w:ascii="Times New Roman" w:hAnsi="Times New Roman" w:cs="Times New Roman"/>
                <w:sz w:val="24"/>
                <w:szCs w:val="24"/>
              </w:rPr>
              <w:t>-</w:t>
            </w:r>
            <w:r w:rsidR="00A16CBE" w:rsidRPr="008C7038">
              <w:rPr>
                <w:rFonts w:ascii="Times New Roman" w:hAnsi="Times New Roman" w:cs="Times New Roman"/>
                <w:sz w:val="24"/>
                <w:szCs w:val="24"/>
              </w:rPr>
              <w:t>Państwo”,</w:t>
            </w:r>
            <w:r w:rsidRPr="008C7038">
              <w:rPr>
                <w:rFonts w:ascii="Times New Roman" w:hAnsi="Times New Roman" w:cs="Times New Roman"/>
                <w:sz w:val="24"/>
                <w:szCs w:val="24"/>
              </w:rPr>
              <w:t xml:space="preserve"> Program „Od papierowej do cyfrowej Polski”</w:t>
            </w:r>
          </w:p>
          <w:p w14:paraId="3164B9B7" w14:textId="77777777" w:rsidR="006A701A" w:rsidRPr="008C7038" w:rsidRDefault="006A701A" w:rsidP="00852C51">
            <w:pPr>
              <w:spacing w:line="257" w:lineRule="auto"/>
              <w:rPr>
                <w:rFonts w:ascii="Times New Roman" w:hAnsi="Times New Roman" w:cs="Times New Roman"/>
                <w:b/>
                <w:sz w:val="24"/>
                <w:szCs w:val="24"/>
              </w:rPr>
            </w:pPr>
            <w:r w:rsidRPr="008C7038">
              <w:rPr>
                <w:rFonts w:ascii="Times New Roman" w:hAnsi="Times New Roman" w:cs="Times New Roman"/>
                <w:b/>
                <w:sz w:val="24"/>
                <w:szCs w:val="24"/>
              </w:rPr>
              <w:t xml:space="preserve">Nr </w:t>
            </w:r>
            <w:r w:rsidR="0057668E" w:rsidRPr="008C7038">
              <w:rPr>
                <w:rFonts w:ascii="Times New Roman" w:hAnsi="Times New Roman" w:cs="Times New Roman"/>
                <w:b/>
                <w:sz w:val="24"/>
                <w:szCs w:val="24"/>
              </w:rPr>
              <w:t>w</w:t>
            </w:r>
            <w:r w:rsidRPr="008C7038">
              <w:rPr>
                <w:rFonts w:ascii="Times New Roman" w:hAnsi="Times New Roman" w:cs="Times New Roman"/>
                <w:b/>
                <w:sz w:val="24"/>
                <w:szCs w:val="24"/>
              </w:rPr>
              <w:t xml:space="preserve"> wykaz</w:t>
            </w:r>
            <w:r w:rsidR="0057668E" w:rsidRPr="008C7038">
              <w:rPr>
                <w:rFonts w:ascii="Times New Roman" w:hAnsi="Times New Roman" w:cs="Times New Roman"/>
                <w:b/>
                <w:sz w:val="24"/>
                <w:szCs w:val="24"/>
              </w:rPr>
              <w:t>ie</w:t>
            </w:r>
            <w:r w:rsidRPr="008C7038">
              <w:rPr>
                <w:rFonts w:ascii="Times New Roman" w:hAnsi="Times New Roman" w:cs="Times New Roman"/>
                <w:b/>
                <w:sz w:val="24"/>
                <w:szCs w:val="24"/>
              </w:rPr>
              <w:t xml:space="preserve"> prac </w:t>
            </w:r>
          </w:p>
          <w:p w14:paraId="00355C3A" w14:textId="3A1A1DFE" w:rsidR="006A701A" w:rsidRPr="008C7038" w:rsidRDefault="00EA0061" w:rsidP="00852C51">
            <w:pPr>
              <w:spacing w:line="257" w:lineRule="auto"/>
              <w:rPr>
                <w:rFonts w:ascii="Times New Roman" w:hAnsi="Times New Roman" w:cs="Times New Roman"/>
                <w:sz w:val="24"/>
                <w:szCs w:val="24"/>
              </w:rPr>
            </w:pPr>
            <w:r>
              <w:rPr>
                <w:rFonts w:ascii="Times New Roman" w:hAnsi="Times New Roman" w:cs="Times New Roman"/>
                <w:b/>
                <w:sz w:val="24"/>
                <w:szCs w:val="24"/>
              </w:rPr>
              <w:t>UD462</w:t>
            </w:r>
          </w:p>
          <w:p w14:paraId="1A1FE022" w14:textId="77777777" w:rsidR="006A701A" w:rsidRPr="008C7038" w:rsidRDefault="006A701A" w:rsidP="00852C51">
            <w:pPr>
              <w:spacing w:line="257" w:lineRule="auto"/>
              <w:rPr>
                <w:rFonts w:ascii="Times New Roman" w:hAnsi="Times New Roman" w:cs="Times New Roman"/>
                <w:sz w:val="24"/>
                <w:szCs w:val="24"/>
              </w:rPr>
            </w:pPr>
          </w:p>
        </w:tc>
      </w:tr>
      <w:tr w:rsidR="006A701A" w:rsidRPr="008C7038" w14:paraId="574607BB" w14:textId="77777777" w:rsidTr="008C7038">
        <w:trPr>
          <w:trHeight w:val="142"/>
        </w:trPr>
        <w:tc>
          <w:tcPr>
            <w:tcW w:w="10832" w:type="dxa"/>
            <w:gridSpan w:val="2"/>
            <w:shd w:val="clear" w:color="auto" w:fill="99CCFF"/>
          </w:tcPr>
          <w:p w14:paraId="4370BE6C" w14:textId="77777777" w:rsidR="006A701A" w:rsidRPr="008C7038" w:rsidRDefault="006A701A" w:rsidP="00852C51">
            <w:pPr>
              <w:spacing w:line="257" w:lineRule="auto"/>
              <w:jc w:val="center"/>
              <w:rPr>
                <w:rFonts w:ascii="Times New Roman" w:hAnsi="Times New Roman" w:cs="Times New Roman"/>
                <w:b/>
                <w:sz w:val="24"/>
                <w:szCs w:val="24"/>
              </w:rPr>
            </w:pPr>
            <w:bookmarkStart w:id="2" w:name="_GoBack"/>
            <w:r w:rsidRPr="008C7038">
              <w:rPr>
                <w:rFonts w:ascii="Times New Roman" w:hAnsi="Times New Roman" w:cs="Times New Roman"/>
                <w:b/>
                <w:sz w:val="24"/>
                <w:szCs w:val="24"/>
              </w:rPr>
              <w:t>OCENA SKUTKÓW REGULACJI</w:t>
            </w:r>
            <w:bookmarkEnd w:id="2"/>
          </w:p>
        </w:tc>
      </w:tr>
      <w:tr w:rsidR="006A701A" w:rsidRPr="008C7038" w14:paraId="7C2FE081" w14:textId="77777777" w:rsidTr="008C7038">
        <w:trPr>
          <w:trHeight w:val="333"/>
        </w:trPr>
        <w:tc>
          <w:tcPr>
            <w:tcW w:w="10832" w:type="dxa"/>
            <w:gridSpan w:val="2"/>
            <w:shd w:val="clear" w:color="auto" w:fill="99CCFF"/>
            <w:vAlign w:val="center"/>
          </w:tcPr>
          <w:p w14:paraId="34A36A40" w14:textId="77777777" w:rsidR="006A701A" w:rsidRPr="008C7038" w:rsidRDefault="003D12F6" w:rsidP="000411FC">
            <w:pPr>
              <w:numPr>
                <w:ilvl w:val="0"/>
                <w:numId w:val="1"/>
              </w:numPr>
              <w:spacing w:line="257" w:lineRule="auto"/>
              <w:ind w:left="318" w:hanging="284"/>
              <w:jc w:val="both"/>
              <w:rPr>
                <w:rFonts w:ascii="Times New Roman" w:hAnsi="Times New Roman" w:cs="Times New Roman"/>
                <w:b/>
                <w:sz w:val="24"/>
                <w:szCs w:val="24"/>
              </w:rPr>
            </w:pPr>
            <w:r w:rsidRPr="008C7038">
              <w:rPr>
                <w:rFonts w:ascii="Times New Roman" w:hAnsi="Times New Roman" w:cs="Times New Roman"/>
                <w:b/>
                <w:sz w:val="24"/>
                <w:szCs w:val="24"/>
              </w:rPr>
              <w:t xml:space="preserve">Jaki problem jest </w:t>
            </w:r>
            <w:r w:rsidR="00CC6305" w:rsidRPr="008C7038">
              <w:rPr>
                <w:rFonts w:ascii="Times New Roman" w:hAnsi="Times New Roman" w:cs="Times New Roman"/>
                <w:b/>
                <w:sz w:val="24"/>
                <w:szCs w:val="24"/>
              </w:rPr>
              <w:t>rozwiązywany?</w:t>
            </w:r>
            <w:bookmarkStart w:id="3" w:name="Wybór1"/>
            <w:bookmarkEnd w:id="3"/>
          </w:p>
        </w:tc>
      </w:tr>
      <w:tr w:rsidR="006A701A" w:rsidRPr="008C7038" w14:paraId="22631D20" w14:textId="77777777" w:rsidTr="008C7038">
        <w:trPr>
          <w:trHeight w:val="142"/>
        </w:trPr>
        <w:tc>
          <w:tcPr>
            <w:tcW w:w="10832" w:type="dxa"/>
            <w:gridSpan w:val="2"/>
            <w:shd w:val="clear" w:color="auto" w:fill="FFFFFF"/>
          </w:tcPr>
          <w:p w14:paraId="53C4AB19" w14:textId="77777777"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 xml:space="preserve">Wprowadzenie efektywnych e-usług publicznych stanowi jeden z celów Programu Zintegrowanej Informatyzacji Państwa (PZIP), stanowiącego załącznik do uchwały nr 11/2014 Rady Ministrów z dnia 8 stycznia 2014 r. w sprawie przyjęcia </w:t>
            </w:r>
            <w:r w:rsidRPr="008C7038">
              <w:rPr>
                <w:rFonts w:ascii="Times New Roman" w:hAnsi="Times New Roman" w:cs="Times New Roman"/>
                <w:i/>
                <w:sz w:val="24"/>
                <w:szCs w:val="24"/>
              </w:rPr>
              <w:t>„Programu Zintegrowanej Informatyzacji Państwa”</w:t>
            </w:r>
            <w:r w:rsidRPr="008C7038">
              <w:rPr>
                <w:rFonts w:ascii="Times New Roman" w:hAnsi="Times New Roman" w:cs="Times New Roman"/>
                <w:sz w:val="24"/>
                <w:szCs w:val="24"/>
              </w:rPr>
              <w:t xml:space="preserve">, zmienionej uchwałą 117/2016 Rady Ministrów z dnia 27 września 2016 r. </w:t>
            </w:r>
          </w:p>
          <w:p w14:paraId="3AE4D033" w14:textId="77777777"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Projekt ustawy stanowi odpowiedź na Deklarację ministerialną w sprawie administracji elektronicznej, podpisaną w Tallinie w dniu 6 października 2017 r., w której wskazano m.in. na zasadę domyślności cyfrowej i powszechności. Zgodnie z tą zasadą usługi publiczne powinny być dostępne w postaci cyfrowej, która powinna być formą domyślną, jednak państwo powinno oferować alternatywne drogi komunikacji obywatelom niechcącym lub niemogącym ich używać w cyfrowej postaci.</w:t>
            </w:r>
          </w:p>
          <w:p w14:paraId="77140080" w14:textId="77777777"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 xml:space="preserve">Projekt ustawy o elektronizacji doręczeń służy również realizacji przyjętej przez Radę Ministrów Strategii na rzecz Odpowiedzialnego Rozwoju (SOR) w obszarze „e-Państwo - </w:t>
            </w:r>
            <w:r w:rsidRPr="008C7038">
              <w:rPr>
                <w:rFonts w:ascii="Times New Roman" w:hAnsi="Times New Roman" w:cs="Times New Roman"/>
                <w:i/>
                <w:iCs/>
                <w:sz w:val="24"/>
                <w:szCs w:val="24"/>
              </w:rPr>
              <w:t>Skuteczne państwo i instytucje służące wzrostowi oraz rozwojowi społecznemu i gospodarczemu”</w:t>
            </w:r>
            <w:r w:rsidRPr="008C7038">
              <w:rPr>
                <w:rFonts w:ascii="Times New Roman" w:hAnsi="Times New Roman" w:cs="Times New Roman"/>
                <w:sz w:val="24"/>
                <w:szCs w:val="24"/>
              </w:rPr>
              <w:t xml:space="preserve">. W obszarze tym planowane są działania usprawniające funkcjonowanie administracji publicznej, świadczącej wysokiej jakości usługi z wykorzystaniem nowoczesnych technologii informatycznych w celu rozwijania społeczeństwa i gospodarki. </w:t>
            </w:r>
          </w:p>
          <w:p w14:paraId="556435BF" w14:textId="77777777" w:rsidR="001E2106" w:rsidRPr="008C7038" w:rsidRDefault="001E2106" w:rsidP="00EA0061">
            <w:pPr>
              <w:spacing w:after="120"/>
              <w:ind w:left="62" w:right="159"/>
              <w:jc w:val="both"/>
              <w:rPr>
                <w:rFonts w:ascii="Times New Roman" w:hAnsi="Times New Roman" w:cs="Times New Roman"/>
                <w:i/>
                <w:sz w:val="24"/>
                <w:szCs w:val="24"/>
              </w:rPr>
            </w:pPr>
            <w:r w:rsidRPr="008C7038">
              <w:rPr>
                <w:rFonts w:ascii="Times New Roman" w:hAnsi="Times New Roman" w:cs="Times New Roman"/>
                <w:sz w:val="24"/>
                <w:szCs w:val="24"/>
              </w:rPr>
              <w:t>Jednym z kierunków interwencji wskazanych w SOR jest zapewnienie dominującego udziału elektronicznego obiegu dokumentów w administracji i obrocie gospodarczym (zadanie „Budowa i rozwój e</w:t>
            </w:r>
            <w:r w:rsidRPr="008C7038">
              <w:rPr>
                <w:rFonts w:ascii="Times New Roman" w:hAnsi="Times New Roman" w:cs="Times New Roman"/>
                <w:sz w:val="24"/>
                <w:szCs w:val="24"/>
              </w:rPr>
              <w:noBreakHyphen/>
              <w:t>administracji – orientacja administracji państwa na usługi cyfrowe”).</w:t>
            </w:r>
          </w:p>
          <w:p w14:paraId="006EB4FC" w14:textId="315D096A" w:rsidR="001E2106" w:rsidRPr="008C7038" w:rsidRDefault="001E2106" w:rsidP="00EA0061">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Projekt ustawy wychodzi także naprzeciw potrzebom określonym podczas posiedzenia Rady Ministrów z dnia 5 kwietnia 2018 r., podczas którego poruszono temat przeglądu prawa pod kątem możliwości ograniczenia obowiązków administracyjnych oraz wyznaczono Ministra Przedsiębiorczości i Technologii do koordynacji tego zadania. Pakiet rozwiązań umożliwiających doręczenia elektroniczne zamiast papierowych stanie się niezbędnym narzędziem umożliwiającym uproszczenie procesów administracyjnych</w:t>
            </w:r>
            <w:r w:rsidRPr="008C7038">
              <w:rPr>
                <w:rFonts w:ascii="Times New Roman" w:hAnsi="Times New Roman" w:cs="Times New Roman"/>
                <w:i/>
                <w:sz w:val="24"/>
                <w:szCs w:val="24"/>
              </w:rPr>
              <w:t>.</w:t>
            </w:r>
            <w:r w:rsidR="00CB0E31" w:rsidRPr="008C7038">
              <w:rPr>
                <w:rFonts w:ascii="Times New Roman" w:hAnsi="Times New Roman" w:cs="Times New Roman"/>
                <w:i/>
                <w:sz w:val="24"/>
                <w:szCs w:val="24"/>
              </w:rPr>
              <w:t xml:space="preserve"> </w:t>
            </w:r>
          </w:p>
          <w:p w14:paraId="3221DDCC"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Obecnie podstawową formą wymiany korespondencji z podmiotami publicznymi jest tradycyjny sposób komunikacji, oparty o papierową przesyłkę poleconą, lub osobista wizyta w punkcie obsługi klienta. Administracja publiczna coraz częściej zapewnia odbiorcom usługi udostępniane w dedykowanym systemie lub na ePUAP, przeznaczone dla określonego celu lub określonej sprawy. </w:t>
            </w:r>
          </w:p>
          <w:p w14:paraId="5846A211"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W 2017 r. tylko 31% osób w wieku 16-74 lat kontaktowało się z administracją publiczną elektronicznie</w:t>
            </w:r>
            <w:r w:rsidRPr="008C7038">
              <w:rPr>
                <w:rStyle w:val="Odwoanieprzypisudolnego"/>
                <w:rFonts w:ascii="Times New Roman" w:hAnsi="Times New Roman" w:cs="Times New Roman"/>
                <w:sz w:val="24"/>
                <w:szCs w:val="24"/>
              </w:rPr>
              <w:footnoteReference w:id="2"/>
            </w:r>
            <w:r w:rsidRPr="008C7038">
              <w:rPr>
                <w:rFonts w:ascii="Times New Roman" w:hAnsi="Times New Roman" w:cs="Times New Roman"/>
                <w:sz w:val="24"/>
                <w:szCs w:val="24"/>
              </w:rPr>
              <w:t xml:space="preserve">. </w:t>
            </w:r>
          </w:p>
          <w:p w14:paraId="0DA60656"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Wprowadzenie usługi rejestrowanego doręczenia elektronicznego, pozwalającej na doręczenia korespondencji ze skutkiem prawnym równoważnym do tradycyjnego doręczenia korespondencji realizowanego obecnie, pozwoli rozwiązać poniżej opisane problemy, odpowie na potrzeby interesariuszy </w:t>
            </w:r>
            <w:r w:rsidRPr="008C7038">
              <w:rPr>
                <w:rFonts w:ascii="Times New Roman" w:hAnsi="Times New Roman" w:cs="Times New Roman"/>
                <w:sz w:val="24"/>
                <w:szCs w:val="24"/>
              </w:rPr>
              <w:lastRenderedPageBreak/>
              <w:t xml:space="preserve">projektu i otworzy perspektywę na zwiększenie liczby osób kontaktujących się elektronicznie z podmiotami publicznymi. </w:t>
            </w:r>
          </w:p>
          <w:p w14:paraId="354DB788"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Praktycznie wszyscy obywatele i pozostałe podmioty mogą korzystać z usługi doręczenia elektronicznego na ePUAP za pomocą konta, które umożliwia doręczanie korespondencji na Elektroniczne Skrzynki Podawcze (ESP) podmiotów publicznych. Doręczenie przy pomocy skrzynek ePUAP jest skuteczne tylko w komunikacji z podmiotami publicznymi i tylko w ramach spraw wszczętych elektronicznie lub dla których została wyrażona zgoda na doręczanie elektroniczne. Obecnie podmiot korzystający z ePUAP może mieć wiele adresów e-skrzynek, zakładanych często w celu wysłania i odebrania korespondencji tylko w jednej sprawie. W efekcie funkcjonuje wiele adresów elektronicznych, które są trudne do wyszukania i w praktyce są znane tylko uczestnikom korespondencji prowadzonej w określonej sprawie. Każdy z podmiotów publicznych zarządza własną listą adresów elektronicznych swoich klientów, w tym nawet kilkoma adresami jednego klienta przyporządkowanymi dla różnych spraw.</w:t>
            </w:r>
          </w:p>
          <w:p w14:paraId="0186AF48"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Ustawa z dnia 17 lutego 2005 r. o informatyzacji działalności podmiotów realizujących zadania publiczne nakłada na podmioty publiczne obowiązek posiadania ESP, jednakże przypisany jej adres bywa trudny do wyszukania, a ponadto doręczenie na niego jest skuteczne tylko w niektórych procedurach, gdyż liczne przepisy regulujące specjalne zasady doręczeń elektronicznych w określonych sytuacjach wykluczają możliwość wykorzystania tego sposobu komunikacji. Dodatkowo pomimo wymogu posiadania skrzynki podawczej, tylko 97% urzędów posiadało w 2015 r. ESP, co wskazuje na niepełne stosowanie się do wymogów ustawy o informatyzacji oraz uniemożliwia stosowanie się do art. 39 [2] kodeksu postępowania administracyjnego. Niewiele więcej niż połowa jednostek wykorzystuje ESP do udzielania odpowiedzi na korespondencję, która wpłynęła tą drogą, a tylko 23% podmiotów używa ESP do doręczania korespondencji wszczynanej z własnej inicjatywy</w:t>
            </w:r>
            <w:r w:rsidRPr="008C7038">
              <w:rPr>
                <w:rStyle w:val="Odwoanieprzypisudolnego"/>
                <w:rFonts w:ascii="Times New Roman" w:hAnsi="Times New Roman" w:cs="Times New Roman"/>
                <w:sz w:val="24"/>
                <w:szCs w:val="24"/>
              </w:rPr>
              <w:footnoteReference w:id="3"/>
            </w:r>
            <w:r w:rsidRPr="008C7038">
              <w:rPr>
                <w:rFonts w:ascii="Times New Roman" w:hAnsi="Times New Roman" w:cs="Times New Roman"/>
                <w:sz w:val="24"/>
                <w:szCs w:val="24"/>
              </w:rPr>
              <w:t>.</w:t>
            </w:r>
          </w:p>
          <w:p w14:paraId="26FF0C96"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Podsumowując, na niesatysfakcjonujący stopień wykorzystania ePUAP zasadniczy wpływ mają ograniczenia prawne skuteczności doręczeń realizowanych za pomocą ePUAP wynikające z przepisów szczegółowych, wykluczających możliwość skutecznego doręczania korespondencji tą drogą. Powoduje to dezorientację użytkowników i niepewność co do sensu jej wykorzystywania– np. osoby fizyczne, które po próbie wniesienia pisma za pomocą ePUAP do sądu lub ZUS otrzymały zwrotną korespondencję wskazującą na konieczność wniesienia pisma procesowego do sądu na papierze lub do ZUS za pomocą systemu PUE ZUS, rezygnują z wykorzystywania ePUAP w przyszłości.</w:t>
            </w:r>
          </w:p>
          <w:p w14:paraId="1363EB7A" w14:textId="6BA2B9CA"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Ponadto interfejs użytkownika ePUAP i rozwiązania organizacyjne tego systemu są już nienowoczesne i niezrozumiałe dla użytkowników, w tym także dla podmiotów publicznych, co potęguje nacisk na tworzenie rozwiązań alternatywnych, dedykowanych dla określonej sprawy lub podmiotu. Obecne rozwiązania techniczne ePUAP są także niezgodne z przygotowywanymi wytycznymi europejskimi dla rejestrowanego doręczenia elektronicznego. Stwarzają też istotne ograniczenia wydajnościowe i nie powinny być dalej rozwijane.</w:t>
            </w:r>
            <w:r w:rsidR="008C7038">
              <w:rPr>
                <w:rFonts w:ascii="Times New Roman" w:hAnsi="Times New Roman" w:cs="Times New Roman"/>
                <w:sz w:val="24"/>
                <w:szCs w:val="24"/>
              </w:rPr>
              <w:t xml:space="preserve"> </w:t>
            </w:r>
            <w:r w:rsidRPr="008C7038">
              <w:rPr>
                <w:rFonts w:ascii="Times New Roman" w:hAnsi="Times New Roman" w:cs="Times New Roman"/>
                <w:sz w:val="24"/>
                <w:szCs w:val="24"/>
              </w:rPr>
              <w:t>Przykład ePUAP pokazuje, że należy stworzyć rozwiązanie nie tylko wygodne i zrozumiałe, ale przede wszystkim umocowujące w prawie nową metodę doręczenia, która pozwoli na korzystanie z niej, bez obaw użytkowników co do skuteczności e-Doręczeń.</w:t>
            </w:r>
          </w:p>
          <w:p w14:paraId="7B4D6FF6" w14:textId="77777777" w:rsidR="00671A32" w:rsidRPr="008C7038" w:rsidRDefault="001E2106" w:rsidP="00EA0061">
            <w:pPr>
              <w:pStyle w:val="Akapitzlist"/>
              <w:spacing w:after="120"/>
              <w:ind w:left="62"/>
              <w:contextualSpacing w:val="0"/>
              <w:jc w:val="both"/>
              <w:rPr>
                <w:rFonts w:ascii="Times New Roman" w:hAnsi="Times New Roman" w:cs="Times New Roman"/>
                <w:sz w:val="24"/>
                <w:szCs w:val="24"/>
              </w:rPr>
            </w:pPr>
            <w:r w:rsidRPr="008C7038">
              <w:rPr>
                <w:rFonts w:ascii="Times New Roman" w:hAnsi="Times New Roman" w:cs="Times New Roman"/>
                <w:sz w:val="24"/>
                <w:szCs w:val="24"/>
              </w:rPr>
              <w:t>W Polsce od 2005 r. obowiązuje również wymóg weryfikacji, czy potencjalny odbiorca korespondencji życzy sobie doręczeń elektronicznych wysyłanych przez podmioty publiczne w danej sprawie</w:t>
            </w:r>
            <w:r w:rsidRPr="008C7038">
              <w:rPr>
                <w:rStyle w:val="Odwoanieprzypisudolnego"/>
                <w:rFonts w:ascii="Times New Roman" w:hAnsi="Times New Roman" w:cs="Times New Roman"/>
                <w:sz w:val="24"/>
                <w:szCs w:val="24"/>
              </w:rPr>
              <w:footnoteReference w:id="4"/>
            </w:r>
            <w:r w:rsidRPr="008C7038">
              <w:rPr>
                <w:rFonts w:ascii="Times New Roman" w:hAnsi="Times New Roman" w:cs="Times New Roman"/>
                <w:sz w:val="24"/>
                <w:szCs w:val="24"/>
              </w:rPr>
              <w:t xml:space="preserve">. </w:t>
            </w:r>
          </w:p>
          <w:p w14:paraId="64CD213F" w14:textId="77777777" w:rsidR="001E2106" w:rsidRPr="008C7038" w:rsidRDefault="001E2106" w:rsidP="00EA0061">
            <w:pPr>
              <w:pStyle w:val="Akapitzlist"/>
              <w:spacing w:after="120"/>
              <w:ind w:left="62"/>
              <w:contextualSpacing w:val="0"/>
              <w:jc w:val="both"/>
              <w:rPr>
                <w:rFonts w:ascii="Times New Roman" w:hAnsi="Times New Roman" w:cs="Times New Roman"/>
                <w:sz w:val="24"/>
                <w:szCs w:val="24"/>
              </w:rPr>
            </w:pPr>
            <w:r w:rsidRPr="008C7038">
              <w:rPr>
                <w:rFonts w:ascii="Times New Roman" w:hAnsi="Times New Roman" w:cs="Times New Roman"/>
                <w:sz w:val="24"/>
                <w:szCs w:val="24"/>
              </w:rPr>
              <w:t>Każdy podmiot publiczny musi sobie radzić z tym obowiązkiem we własnym zakresie, tworząc samodzielne systemy informatyczne, usługi lub procedury. Zdiagnozowana „silosowość</w:t>
            </w:r>
            <w:r w:rsidRPr="008C7038">
              <w:rPr>
                <w:rStyle w:val="Odwoanieprzypisudolnego"/>
                <w:rFonts w:ascii="Times New Roman" w:hAnsi="Times New Roman" w:cs="Times New Roman"/>
                <w:sz w:val="24"/>
                <w:szCs w:val="24"/>
              </w:rPr>
              <w:footnoteReference w:id="5"/>
            </w:r>
            <w:r w:rsidRPr="008C7038">
              <w:rPr>
                <w:rFonts w:ascii="Times New Roman" w:hAnsi="Times New Roman" w:cs="Times New Roman"/>
                <w:sz w:val="24"/>
                <w:szCs w:val="24"/>
              </w:rPr>
              <w:t xml:space="preserve">” i fragmentaryczność rozwiązań przełożyły się na brak synergii pomiędzy działaniami podejmowanymi w różnych sektorach czy resortach. Systemy i rejestry państwowe nie są wzajemnie powiązane, co dla podmiotów publicznych jest realnym utrudnieniem w oferowanych usługach i realizowanych procedurach. Brak standaryzacji usługi rejestrowanego doręczenia w Polsce powoduje wielokrotne ponoszenie kosztów projektowania, wdrożenia i utrzymania systemów realizujących takie zadania. W efekcie obywatele, przedsiębiorcy i podmioty </w:t>
            </w:r>
            <w:r w:rsidRPr="008C7038">
              <w:rPr>
                <w:rFonts w:ascii="Times New Roman" w:hAnsi="Times New Roman" w:cs="Times New Roman"/>
                <w:sz w:val="24"/>
                <w:szCs w:val="24"/>
              </w:rPr>
              <w:lastRenderedPageBreak/>
              <w:t>publiczne w celu prowadzenia korespondencji elektronicznej muszą posiadać wiele kont w różnych systemach.</w:t>
            </w:r>
          </w:p>
          <w:p w14:paraId="2C814D46"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Powszechną i podstawową formą korespondencji podmiotów publicznych z obywatelami i podmiotami niepublicznymi jest tradycyjny list polecony. Z danych wyznaczonego operatora pocztowego (oszacowanych przez niego na podstawie zawartych umów z podmiotami publicznymi, dotyczących nadań przesyłek rejestrowanych z potwierdzeniem odbioru w 2017 r.) wynika, iż podmioty publiczne i sądy w 2017 r. poniosły z tego tytułu koszty w wysokości ponad 500 mln zł. </w:t>
            </w:r>
          </w:p>
          <w:p w14:paraId="777E32AB"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Tradycyjny proces obsługi listu poleconego lub pisma urzędowego za potwierdzeniem odbioru generuje dla podmiotów publicznych trudne do oszacowania dodatkowe koszty, na które składają się koszty wydruku, zapewnienie obsługi korespondencji oraz przechowywania wysyłanej i otrzymywanej dokumentacji. Wprowadzenie publicznej usługi rejestrowanego doręczenia elektronicznego pozwoli na obniżenie kosztów stałych podmiotów publicznych generowanych w procesie obsługi korespondencji, jednocześnie przyspieszając proces załatwiania spraw.</w:t>
            </w:r>
          </w:p>
          <w:p w14:paraId="3F6ACBD3"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Z badań przeprowadzonych przez PBS na zlecenie Ministerstwa Cyfryzacji w 2016 r. wynika, że załatwienie sprawy elektronicznie wciąż jest mniej popularne niż załatwienie sprawy poprzez osobistą wizytę w urzędzie, bowiem aż 57% ankietowanych wskazało preferencję osobistego załatwienia sprawy, 32% (blisko 1/3 społeczeństwa) wskazało Internet jako drugi w kolejności sposób kontaktu z podmiotami administracji</w:t>
            </w:r>
            <w:r w:rsidRPr="008C7038">
              <w:rPr>
                <w:rStyle w:val="Odwoanieprzypisudolnego"/>
                <w:rFonts w:ascii="Times New Roman" w:hAnsi="Times New Roman" w:cs="Times New Roman"/>
                <w:sz w:val="24"/>
                <w:szCs w:val="24"/>
              </w:rPr>
              <w:footnoteReference w:id="6"/>
            </w:r>
            <w:r w:rsidRPr="008C7038">
              <w:rPr>
                <w:rFonts w:ascii="Times New Roman" w:hAnsi="Times New Roman" w:cs="Times New Roman"/>
                <w:sz w:val="24"/>
                <w:szCs w:val="24"/>
              </w:rPr>
              <w:t xml:space="preserve">. Strategia na rzecz Odpowiedzialnego Rozwoju do roku 2020 (z perspektywą do 2030 r.) wskazuje, że odsetek osób korzystających z Internetu w kontaktach z administracją publiczną do przekazywania wypełnionych formularzy wyniesie 30 % w 2020r. i 40% w 2030 r. </w:t>
            </w:r>
          </w:p>
          <w:p w14:paraId="7F1A214F"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Wg raportu „Społeczeństwo informacyjne w liczbach w 2017 roku”, 22 % gospodarstw domowych w Polsce (ponad 3 mln, czyli ponad 8 mln obywateli) w dalszym ciągu nie korzysta z technologii cyfrowych. Na przestrzeni ostatniego dziesięciolecia współczynnik ten zmniejszył się o 37 punktów procentowych, jednak nadal konieczne jest zapewnienie możliwości kontaktu z podmiotami publicznymi osobom </w:t>
            </w:r>
            <w:r w:rsidRPr="008C7038">
              <w:rPr>
                <w:rFonts w:ascii="Times New Roman" w:hAnsi="Times New Roman" w:cs="Times New Roman"/>
                <w:iCs/>
                <w:sz w:val="24"/>
                <w:szCs w:val="24"/>
              </w:rPr>
              <w:t xml:space="preserve">wykluczonym cyfrowo lub osobom, które nie są jeszcze gotowe na kontakt elektroniczny z różnych innych przyczyn. </w:t>
            </w:r>
            <w:r w:rsidRPr="008C7038">
              <w:rPr>
                <w:rFonts w:ascii="Times New Roman" w:hAnsi="Times New Roman" w:cs="Times New Roman"/>
                <w:sz w:val="24"/>
                <w:szCs w:val="24"/>
              </w:rPr>
              <w:t>W związku z tym wprowadzenie wymogu korzystania z publicznej usługi rejestrowanego doręczenia elektronicznego po stronie podmiotów publicznych</w:t>
            </w:r>
            <w:r w:rsidRPr="008C7038">
              <w:rPr>
                <w:rStyle w:val="Odwoanieprzypisudolnego"/>
                <w:rFonts w:ascii="Times New Roman" w:hAnsi="Times New Roman" w:cs="Times New Roman"/>
                <w:sz w:val="24"/>
                <w:szCs w:val="24"/>
              </w:rPr>
              <w:footnoteReference w:id="7"/>
            </w:r>
            <w:r w:rsidRPr="008C7038">
              <w:rPr>
                <w:rFonts w:ascii="Times New Roman" w:hAnsi="Times New Roman" w:cs="Times New Roman"/>
                <w:sz w:val="24"/>
                <w:szCs w:val="24"/>
              </w:rPr>
              <w:t>, podmiotów wpisanych do CEIDG oraz podmiotów wpisanych do KRS nie powinno wiązać się z nałożeniem obowiązku wykorzystania technologii cyfrowych na obywateli nie stosujących ich na co dzień.</w:t>
            </w:r>
          </w:p>
          <w:p w14:paraId="287CD4BA"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sz w:val="24"/>
                <w:szCs w:val="24"/>
              </w:rPr>
              <w:t xml:space="preserve">Wyjściem naprzeciw potrzebom obywateli niekorzystających z technologii cyfrowych jest wprowadzenie tzw. publicznej usługi hybrydowej, która umożliwi całkowitą cyfryzację procesu nadania/odbioru korespondencji po stronie podmiotów publicznych i przedsiębiorców, pozostawiając obywatelom wybór formy nadania/doręczenia (papierowa lub elektroniczna). </w:t>
            </w:r>
          </w:p>
          <w:p w14:paraId="57F9B551" w14:textId="77777777" w:rsidR="001E2106" w:rsidRPr="008C7038" w:rsidRDefault="001E2106" w:rsidP="00EA0061">
            <w:pPr>
              <w:spacing w:after="120"/>
              <w:ind w:left="62"/>
              <w:jc w:val="both"/>
              <w:rPr>
                <w:rFonts w:ascii="Times New Roman" w:hAnsi="Times New Roman" w:cs="Times New Roman"/>
                <w:iCs/>
                <w:sz w:val="24"/>
                <w:szCs w:val="24"/>
              </w:rPr>
            </w:pPr>
            <w:r w:rsidRPr="008C7038">
              <w:rPr>
                <w:rFonts w:ascii="Times New Roman" w:hAnsi="Times New Roman" w:cs="Times New Roman"/>
                <w:sz w:val="24"/>
                <w:szCs w:val="24"/>
              </w:rPr>
              <w:t xml:space="preserve">Usługa ta polega na przetworzeniu korespondencji nadanej elektronicznie do postaci papierowej </w:t>
            </w:r>
            <w:r w:rsidRPr="008C7038">
              <w:rPr>
                <w:rFonts w:ascii="Times New Roman" w:hAnsi="Times New Roman" w:cs="Times New Roman"/>
                <w:iCs/>
                <w:sz w:val="24"/>
                <w:szCs w:val="24"/>
              </w:rPr>
              <w:t xml:space="preserve">(wydruk o określonych standardach) </w:t>
            </w:r>
            <w:r w:rsidRPr="008C7038">
              <w:rPr>
                <w:rFonts w:ascii="Times New Roman" w:hAnsi="Times New Roman" w:cs="Times New Roman"/>
                <w:sz w:val="24"/>
                <w:szCs w:val="24"/>
              </w:rPr>
              <w:t xml:space="preserve">oraz jej doręczeniu w takiej postaci, </w:t>
            </w:r>
            <w:r w:rsidRPr="008C7038">
              <w:rPr>
                <w:rFonts w:ascii="Times New Roman" w:hAnsi="Times New Roman" w:cs="Times New Roman"/>
                <w:iCs/>
                <w:sz w:val="24"/>
                <w:szCs w:val="24"/>
              </w:rPr>
              <w:t>lub na nadaniu korespondencji w postaci papierowej, przetworzeniu jej do postaci elektronicznej (</w:t>
            </w:r>
            <w:r w:rsidRPr="008C7038">
              <w:rPr>
                <w:rFonts w:ascii="Times New Roman" w:hAnsi="Times New Roman" w:cs="Times New Roman"/>
                <w:sz w:val="24"/>
                <w:szCs w:val="24"/>
              </w:rPr>
              <w:t xml:space="preserve">odwzorowanie cyfrowe o określonych standardach) </w:t>
            </w:r>
            <w:r w:rsidRPr="008C7038">
              <w:rPr>
                <w:rFonts w:ascii="Times New Roman" w:hAnsi="Times New Roman" w:cs="Times New Roman"/>
                <w:iCs/>
                <w:sz w:val="24"/>
                <w:szCs w:val="24"/>
              </w:rPr>
              <w:t xml:space="preserve">i doręczeniu w takiej postaci. </w:t>
            </w:r>
          </w:p>
          <w:p w14:paraId="21ADC4C9" w14:textId="77777777" w:rsidR="001E2106" w:rsidRPr="008C7038" w:rsidRDefault="001E2106" w:rsidP="00EA0061">
            <w:pPr>
              <w:spacing w:after="120"/>
              <w:ind w:left="62"/>
              <w:jc w:val="both"/>
              <w:rPr>
                <w:rFonts w:ascii="Times New Roman" w:hAnsi="Times New Roman" w:cs="Times New Roman"/>
                <w:sz w:val="24"/>
                <w:szCs w:val="24"/>
              </w:rPr>
            </w:pPr>
            <w:r w:rsidRPr="008C7038">
              <w:rPr>
                <w:rFonts w:ascii="Times New Roman" w:hAnsi="Times New Roman" w:cs="Times New Roman"/>
                <w:iCs/>
                <w:sz w:val="24"/>
                <w:szCs w:val="24"/>
              </w:rPr>
              <w:t>Osoby wykluczone cyfrowo lub niewyrażające woli skorzystania z elektronicznej formy doręczenia będą miały dzięki niej możliwość odbierania i nadawania korespondencji w postaci przesyłek listowych.</w:t>
            </w:r>
          </w:p>
        </w:tc>
      </w:tr>
      <w:tr w:rsidR="006A701A" w:rsidRPr="008C7038" w14:paraId="5C325491" w14:textId="77777777" w:rsidTr="008C7038">
        <w:trPr>
          <w:trHeight w:val="142"/>
        </w:trPr>
        <w:tc>
          <w:tcPr>
            <w:tcW w:w="10832" w:type="dxa"/>
            <w:gridSpan w:val="2"/>
            <w:shd w:val="clear" w:color="auto" w:fill="99CCFF"/>
            <w:vAlign w:val="center"/>
          </w:tcPr>
          <w:p w14:paraId="4F6120C0" w14:textId="77777777" w:rsidR="006A701A" w:rsidRPr="008C7038" w:rsidRDefault="0013216E" w:rsidP="003F4E1D">
            <w:pPr>
              <w:numPr>
                <w:ilvl w:val="0"/>
                <w:numId w:val="1"/>
              </w:numPr>
              <w:spacing w:line="257" w:lineRule="auto"/>
              <w:ind w:left="318" w:hanging="284"/>
              <w:jc w:val="both"/>
              <w:rPr>
                <w:rFonts w:ascii="Times New Roman" w:hAnsi="Times New Roman" w:cs="Times New Roman"/>
                <w:b/>
                <w:sz w:val="24"/>
                <w:szCs w:val="24"/>
              </w:rPr>
            </w:pPr>
            <w:r w:rsidRPr="008C7038">
              <w:rPr>
                <w:rFonts w:ascii="Times New Roman" w:hAnsi="Times New Roman" w:cs="Times New Roman"/>
                <w:b/>
                <w:spacing w:val="-2"/>
                <w:sz w:val="24"/>
                <w:szCs w:val="24"/>
              </w:rPr>
              <w:lastRenderedPageBreak/>
              <w:t>Rekomendowane rozwiązanie, w tym planowane narzędzia interwencji, i oczekiwany efekt</w:t>
            </w:r>
          </w:p>
        </w:tc>
      </w:tr>
      <w:tr w:rsidR="00A127B9" w:rsidRPr="008C7038" w14:paraId="7A11A336" w14:textId="77777777" w:rsidTr="008C7038">
        <w:trPr>
          <w:trHeight w:val="142"/>
        </w:trPr>
        <w:tc>
          <w:tcPr>
            <w:tcW w:w="10832" w:type="dxa"/>
            <w:gridSpan w:val="2"/>
            <w:shd w:val="clear" w:color="auto" w:fill="auto"/>
          </w:tcPr>
          <w:p w14:paraId="11E33152" w14:textId="593EE972" w:rsidR="001226E2" w:rsidRPr="00DD0E5F" w:rsidRDefault="001226E2"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Kluczowe dla projektu </w:t>
            </w:r>
            <w:r w:rsidR="00943AB8" w:rsidRPr="00DD0E5F">
              <w:rPr>
                <w:rFonts w:ascii="Times New Roman" w:hAnsi="Times New Roman" w:cs="Times New Roman"/>
                <w:sz w:val="24"/>
                <w:szCs w:val="24"/>
              </w:rPr>
              <w:t xml:space="preserve">ustawy </w:t>
            </w:r>
            <w:r w:rsidR="003544B3" w:rsidRPr="00DD0E5F">
              <w:rPr>
                <w:rFonts w:ascii="Times New Roman" w:hAnsi="Times New Roman" w:cs="Times New Roman"/>
                <w:sz w:val="24"/>
                <w:szCs w:val="24"/>
              </w:rPr>
              <w:t xml:space="preserve">o elektronizacji doręczeń oraz zmianie </w:t>
            </w:r>
            <w:r w:rsidR="003134D5" w:rsidRPr="00DD0E5F">
              <w:rPr>
                <w:rFonts w:ascii="Times New Roman" w:hAnsi="Times New Roman" w:cs="Times New Roman"/>
                <w:sz w:val="24"/>
                <w:szCs w:val="24"/>
              </w:rPr>
              <w:t xml:space="preserve">niektórych </w:t>
            </w:r>
            <w:r w:rsidR="003544B3" w:rsidRPr="00DD0E5F">
              <w:rPr>
                <w:rFonts w:ascii="Times New Roman" w:hAnsi="Times New Roman" w:cs="Times New Roman"/>
                <w:sz w:val="24"/>
                <w:szCs w:val="24"/>
              </w:rPr>
              <w:t xml:space="preserve">innych ustaw </w:t>
            </w:r>
            <w:r w:rsidRPr="00DD0E5F">
              <w:rPr>
                <w:rFonts w:ascii="Times New Roman" w:hAnsi="Times New Roman" w:cs="Times New Roman"/>
                <w:sz w:val="24"/>
                <w:szCs w:val="24"/>
              </w:rPr>
              <w:t xml:space="preserve">jest zdefiniowanie zasad korzystania z </w:t>
            </w:r>
            <w:r w:rsidR="00CB0E31" w:rsidRPr="00DD0E5F">
              <w:rPr>
                <w:rFonts w:ascii="Times New Roman" w:hAnsi="Times New Roman" w:cs="Times New Roman"/>
                <w:sz w:val="24"/>
                <w:szCs w:val="24"/>
              </w:rPr>
              <w:t xml:space="preserve">publicznej </w:t>
            </w:r>
            <w:r w:rsidRPr="00DD0E5F">
              <w:rPr>
                <w:rFonts w:ascii="Times New Roman" w:hAnsi="Times New Roman" w:cs="Times New Roman"/>
                <w:sz w:val="24"/>
                <w:szCs w:val="24"/>
              </w:rPr>
              <w:t>usługi rejestrowanego doręczenia</w:t>
            </w:r>
            <w:r w:rsidR="00126D9B" w:rsidRPr="00DD0E5F">
              <w:rPr>
                <w:rFonts w:ascii="Times New Roman" w:hAnsi="Times New Roman" w:cs="Times New Roman"/>
                <w:sz w:val="24"/>
                <w:szCs w:val="24"/>
              </w:rPr>
              <w:t xml:space="preserve"> elektronicznego</w:t>
            </w:r>
            <w:r w:rsidRPr="00DD0E5F">
              <w:rPr>
                <w:rFonts w:ascii="Times New Roman" w:hAnsi="Times New Roman" w:cs="Times New Roman"/>
                <w:sz w:val="24"/>
                <w:szCs w:val="24"/>
              </w:rPr>
              <w:t xml:space="preserve"> </w:t>
            </w:r>
            <w:r w:rsidR="00700B97" w:rsidRPr="00DD0E5F">
              <w:rPr>
                <w:rFonts w:ascii="Times New Roman" w:hAnsi="Times New Roman" w:cs="Times New Roman"/>
                <w:sz w:val="24"/>
                <w:szCs w:val="24"/>
              </w:rPr>
              <w:t xml:space="preserve">i </w:t>
            </w:r>
            <w:r w:rsidR="00B864D2" w:rsidRPr="00DD0E5F">
              <w:rPr>
                <w:rFonts w:ascii="Times New Roman" w:hAnsi="Times New Roman" w:cs="Times New Roman"/>
                <w:sz w:val="24"/>
                <w:szCs w:val="24"/>
              </w:rPr>
              <w:lastRenderedPageBreak/>
              <w:t>publicznej</w:t>
            </w:r>
            <w:r w:rsidR="003D11C5" w:rsidRPr="00DD0E5F">
              <w:rPr>
                <w:rFonts w:ascii="Times New Roman" w:hAnsi="Times New Roman" w:cs="Times New Roman"/>
                <w:sz w:val="24"/>
                <w:szCs w:val="24"/>
              </w:rPr>
              <w:t xml:space="preserve"> usługi hybrydowej</w:t>
            </w:r>
            <w:r w:rsidR="00700B97" w:rsidRPr="00DD0E5F">
              <w:rPr>
                <w:rFonts w:ascii="Times New Roman" w:hAnsi="Times New Roman" w:cs="Times New Roman"/>
                <w:sz w:val="24"/>
                <w:szCs w:val="24"/>
              </w:rPr>
              <w:t xml:space="preserve"> </w:t>
            </w:r>
            <w:r w:rsidRPr="00DD0E5F">
              <w:rPr>
                <w:rFonts w:ascii="Times New Roman" w:hAnsi="Times New Roman" w:cs="Times New Roman"/>
                <w:sz w:val="24"/>
                <w:szCs w:val="24"/>
              </w:rPr>
              <w:t xml:space="preserve">wraz z umocowaniem </w:t>
            </w:r>
            <w:r w:rsidR="00E758A0" w:rsidRPr="00DD0E5F">
              <w:rPr>
                <w:rFonts w:ascii="Times New Roman" w:hAnsi="Times New Roman" w:cs="Times New Roman"/>
                <w:sz w:val="24"/>
                <w:szCs w:val="24"/>
              </w:rPr>
              <w:t xml:space="preserve">ich </w:t>
            </w:r>
            <w:r w:rsidRPr="00DD0E5F">
              <w:rPr>
                <w:rFonts w:ascii="Times New Roman" w:hAnsi="Times New Roman" w:cs="Times New Roman"/>
                <w:sz w:val="24"/>
                <w:szCs w:val="24"/>
              </w:rPr>
              <w:t>w przepisach prawa</w:t>
            </w:r>
            <w:r w:rsidR="00B864D2" w:rsidRPr="00DD0E5F">
              <w:rPr>
                <w:rFonts w:ascii="Times New Roman" w:hAnsi="Times New Roman" w:cs="Times New Roman"/>
                <w:sz w:val="24"/>
                <w:szCs w:val="24"/>
              </w:rPr>
              <w:t>,</w:t>
            </w:r>
            <w:r w:rsidRPr="00DD0E5F">
              <w:rPr>
                <w:rFonts w:ascii="Times New Roman" w:hAnsi="Times New Roman" w:cs="Times New Roman"/>
                <w:sz w:val="24"/>
                <w:szCs w:val="24"/>
              </w:rPr>
              <w:t xml:space="preserve"> tak by móc wykorzyst</w:t>
            </w:r>
            <w:r w:rsidR="00B864D2" w:rsidRPr="00DD0E5F">
              <w:rPr>
                <w:rFonts w:ascii="Times New Roman" w:hAnsi="Times New Roman" w:cs="Times New Roman"/>
                <w:sz w:val="24"/>
                <w:szCs w:val="24"/>
              </w:rPr>
              <w:t>yw</w:t>
            </w:r>
            <w:r w:rsidRPr="00DD0E5F">
              <w:rPr>
                <w:rFonts w:ascii="Times New Roman" w:hAnsi="Times New Roman" w:cs="Times New Roman"/>
                <w:sz w:val="24"/>
                <w:szCs w:val="24"/>
              </w:rPr>
              <w:t xml:space="preserve">ać </w:t>
            </w:r>
            <w:r w:rsidR="00E758A0" w:rsidRPr="00DD0E5F">
              <w:rPr>
                <w:rFonts w:ascii="Times New Roman" w:hAnsi="Times New Roman" w:cs="Times New Roman"/>
                <w:sz w:val="24"/>
                <w:szCs w:val="24"/>
              </w:rPr>
              <w:t xml:space="preserve">je </w:t>
            </w:r>
            <w:r w:rsidRPr="00DD0E5F">
              <w:rPr>
                <w:rFonts w:ascii="Times New Roman" w:hAnsi="Times New Roman" w:cs="Times New Roman"/>
                <w:sz w:val="24"/>
                <w:szCs w:val="24"/>
              </w:rPr>
              <w:t>w</w:t>
            </w:r>
            <w:r w:rsidR="00D701EE" w:rsidRPr="00DD0E5F">
              <w:rPr>
                <w:rFonts w:ascii="Times New Roman" w:hAnsi="Times New Roman" w:cs="Times New Roman"/>
                <w:sz w:val="24"/>
                <w:szCs w:val="24"/>
              </w:rPr>
              <w:t> </w:t>
            </w:r>
            <w:r w:rsidRPr="00DD0E5F">
              <w:rPr>
                <w:rFonts w:ascii="Times New Roman" w:hAnsi="Times New Roman" w:cs="Times New Roman"/>
                <w:sz w:val="24"/>
                <w:szCs w:val="24"/>
              </w:rPr>
              <w:t xml:space="preserve">komunikacji pomiędzy stronami jako metodę prawnie </w:t>
            </w:r>
            <w:r w:rsidR="00885003" w:rsidRPr="00DD0E5F">
              <w:rPr>
                <w:rFonts w:ascii="Times New Roman" w:hAnsi="Times New Roman" w:cs="Times New Roman"/>
                <w:sz w:val="24"/>
                <w:szCs w:val="24"/>
              </w:rPr>
              <w:t xml:space="preserve">skuteczną </w:t>
            </w:r>
            <w:r w:rsidRPr="00DD0E5F">
              <w:rPr>
                <w:rFonts w:ascii="Times New Roman" w:hAnsi="Times New Roman" w:cs="Times New Roman"/>
                <w:sz w:val="24"/>
                <w:szCs w:val="24"/>
              </w:rPr>
              <w:t xml:space="preserve">na równi z wysłaniem tradycyjnego listu poleconego </w:t>
            </w:r>
            <w:r w:rsidR="00346DF4" w:rsidRPr="00DD0E5F">
              <w:rPr>
                <w:rFonts w:ascii="Times New Roman" w:hAnsi="Times New Roman" w:cs="Times New Roman"/>
                <w:sz w:val="24"/>
                <w:szCs w:val="24"/>
              </w:rPr>
              <w:t>za</w:t>
            </w:r>
            <w:r w:rsidR="003134D5" w:rsidRPr="00DD0E5F">
              <w:rPr>
                <w:rFonts w:ascii="Times New Roman" w:hAnsi="Times New Roman" w:cs="Times New Roman"/>
                <w:sz w:val="24"/>
                <w:szCs w:val="24"/>
              </w:rPr>
              <w:t> </w:t>
            </w:r>
            <w:r w:rsidR="00346DF4" w:rsidRPr="00DD0E5F">
              <w:rPr>
                <w:rFonts w:ascii="Times New Roman" w:hAnsi="Times New Roman" w:cs="Times New Roman"/>
                <w:sz w:val="24"/>
                <w:szCs w:val="24"/>
              </w:rPr>
              <w:t xml:space="preserve">potwierdzeniem odbioru </w:t>
            </w:r>
            <w:r w:rsidRPr="00DD0E5F">
              <w:rPr>
                <w:rFonts w:ascii="Times New Roman" w:hAnsi="Times New Roman" w:cs="Times New Roman"/>
                <w:sz w:val="24"/>
                <w:szCs w:val="24"/>
              </w:rPr>
              <w:t>lub doręczeni</w:t>
            </w:r>
            <w:r w:rsidR="00885003" w:rsidRPr="00DD0E5F">
              <w:rPr>
                <w:rFonts w:ascii="Times New Roman" w:hAnsi="Times New Roman" w:cs="Times New Roman"/>
                <w:sz w:val="24"/>
                <w:szCs w:val="24"/>
              </w:rPr>
              <w:t>em</w:t>
            </w:r>
            <w:r w:rsidRPr="00DD0E5F">
              <w:rPr>
                <w:rFonts w:ascii="Times New Roman" w:hAnsi="Times New Roman" w:cs="Times New Roman"/>
                <w:sz w:val="24"/>
                <w:szCs w:val="24"/>
              </w:rPr>
              <w:t xml:space="preserve"> osobist</w:t>
            </w:r>
            <w:r w:rsidR="00885003" w:rsidRPr="00DD0E5F">
              <w:rPr>
                <w:rFonts w:ascii="Times New Roman" w:hAnsi="Times New Roman" w:cs="Times New Roman"/>
                <w:sz w:val="24"/>
                <w:szCs w:val="24"/>
              </w:rPr>
              <w:t>ym</w:t>
            </w:r>
            <w:r w:rsidRPr="00DD0E5F">
              <w:rPr>
                <w:rFonts w:ascii="Times New Roman" w:hAnsi="Times New Roman" w:cs="Times New Roman"/>
                <w:sz w:val="24"/>
                <w:szCs w:val="24"/>
              </w:rPr>
              <w:t>.</w:t>
            </w:r>
          </w:p>
          <w:p w14:paraId="53E7C6D1" w14:textId="77777777" w:rsidR="00346DF4" w:rsidRPr="00DD0E5F" w:rsidRDefault="00943AB8"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Propo</w:t>
            </w:r>
            <w:r w:rsidR="003C42BE" w:rsidRPr="00DD0E5F">
              <w:rPr>
                <w:rFonts w:ascii="Times New Roman" w:hAnsi="Times New Roman" w:cs="Times New Roman"/>
                <w:sz w:val="24"/>
                <w:szCs w:val="24"/>
              </w:rPr>
              <w:t>nowane</w:t>
            </w:r>
            <w:r w:rsidRPr="00DD0E5F">
              <w:rPr>
                <w:rFonts w:ascii="Times New Roman" w:hAnsi="Times New Roman" w:cs="Times New Roman"/>
                <w:sz w:val="24"/>
                <w:szCs w:val="24"/>
              </w:rPr>
              <w:t xml:space="preserve"> przepis</w:t>
            </w:r>
            <w:r w:rsidR="003C42BE" w:rsidRPr="00DD0E5F">
              <w:rPr>
                <w:rFonts w:ascii="Times New Roman" w:hAnsi="Times New Roman" w:cs="Times New Roman"/>
                <w:sz w:val="24"/>
                <w:szCs w:val="24"/>
              </w:rPr>
              <w:t>y</w:t>
            </w:r>
            <w:r w:rsidRPr="00DD0E5F">
              <w:rPr>
                <w:rFonts w:ascii="Times New Roman" w:hAnsi="Times New Roman" w:cs="Times New Roman"/>
                <w:sz w:val="24"/>
                <w:szCs w:val="24"/>
              </w:rPr>
              <w:t xml:space="preserve"> ustawy </w:t>
            </w:r>
            <w:r w:rsidR="003544B3" w:rsidRPr="00DD0E5F">
              <w:rPr>
                <w:rFonts w:ascii="Times New Roman" w:hAnsi="Times New Roman" w:cs="Times New Roman"/>
                <w:sz w:val="24"/>
                <w:szCs w:val="24"/>
              </w:rPr>
              <w:t>s</w:t>
            </w:r>
            <w:r w:rsidR="00225827" w:rsidRPr="00DD0E5F">
              <w:rPr>
                <w:rFonts w:ascii="Times New Roman" w:hAnsi="Times New Roman" w:cs="Times New Roman"/>
                <w:sz w:val="24"/>
                <w:szCs w:val="24"/>
              </w:rPr>
              <w:t>tworzą ramy prawne</w:t>
            </w:r>
            <w:r w:rsidR="00104843" w:rsidRPr="00DD0E5F">
              <w:rPr>
                <w:rFonts w:ascii="Times New Roman" w:hAnsi="Times New Roman" w:cs="Times New Roman"/>
                <w:sz w:val="24"/>
                <w:szCs w:val="24"/>
              </w:rPr>
              <w:t xml:space="preserve"> </w:t>
            </w:r>
            <w:r w:rsidRPr="00DD0E5F">
              <w:rPr>
                <w:rFonts w:ascii="Times New Roman" w:hAnsi="Times New Roman" w:cs="Times New Roman"/>
                <w:sz w:val="24"/>
                <w:szCs w:val="24"/>
              </w:rPr>
              <w:t>do</w:t>
            </w:r>
            <w:r w:rsidR="001707A1" w:rsidRPr="00DD0E5F">
              <w:rPr>
                <w:rFonts w:ascii="Times New Roman" w:hAnsi="Times New Roman" w:cs="Times New Roman"/>
                <w:sz w:val="24"/>
                <w:szCs w:val="24"/>
              </w:rPr>
              <w:t xml:space="preserve"> </w:t>
            </w:r>
            <w:r w:rsidRPr="00DD0E5F">
              <w:rPr>
                <w:rFonts w:ascii="Times New Roman" w:hAnsi="Times New Roman" w:cs="Times New Roman"/>
                <w:sz w:val="24"/>
                <w:szCs w:val="24"/>
              </w:rPr>
              <w:t xml:space="preserve">opracowania </w:t>
            </w:r>
            <w:r w:rsidR="001707A1" w:rsidRPr="00DD0E5F">
              <w:rPr>
                <w:rFonts w:ascii="Times New Roman" w:hAnsi="Times New Roman" w:cs="Times New Roman"/>
                <w:sz w:val="24"/>
                <w:szCs w:val="24"/>
              </w:rPr>
              <w:t xml:space="preserve">i </w:t>
            </w:r>
            <w:r w:rsidRPr="00DD0E5F">
              <w:rPr>
                <w:rFonts w:ascii="Times New Roman" w:hAnsi="Times New Roman" w:cs="Times New Roman"/>
                <w:sz w:val="24"/>
                <w:szCs w:val="24"/>
              </w:rPr>
              <w:t xml:space="preserve">wdrożenia </w:t>
            </w:r>
            <w:r w:rsidR="001707A1" w:rsidRPr="00DD0E5F">
              <w:rPr>
                <w:rFonts w:ascii="Times New Roman" w:hAnsi="Times New Roman" w:cs="Times New Roman"/>
                <w:sz w:val="24"/>
                <w:szCs w:val="24"/>
              </w:rPr>
              <w:t xml:space="preserve">przez Ministerstwo Cyfryzacji </w:t>
            </w:r>
            <w:r w:rsidR="00CF5A5F" w:rsidRPr="00DD0E5F">
              <w:rPr>
                <w:rFonts w:ascii="Times New Roman" w:hAnsi="Times New Roman" w:cs="Times New Roman"/>
                <w:sz w:val="24"/>
                <w:szCs w:val="24"/>
              </w:rPr>
              <w:t>s</w:t>
            </w:r>
            <w:r w:rsidR="00346DF4" w:rsidRPr="00DD0E5F">
              <w:rPr>
                <w:rFonts w:ascii="Times New Roman" w:hAnsi="Times New Roman" w:cs="Times New Roman"/>
                <w:sz w:val="24"/>
                <w:szCs w:val="24"/>
              </w:rPr>
              <w:t xml:space="preserve">tandardu usługi rejestrowanego doręczenia elektronicznego </w:t>
            </w:r>
            <w:r w:rsidR="00B864D2" w:rsidRPr="00DD0E5F">
              <w:rPr>
                <w:rFonts w:ascii="Times New Roman" w:hAnsi="Times New Roman" w:cs="Times New Roman"/>
                <w:sz w:val="24"/>
                <w:szCs w:val="24"/>
              </w:rPr>
              <w:t>oraz</w:t>
            </w:r>
            <w:r w:rsidR="001707A1" w:rsidRPr="00DD0E5F">
              <w:rPr>
                <w:rFonts w:ascii="Times New Roman" w:hAnsi="Times New Roman" w:cs="Times New Roman"/>
                <w:sz w:val="24"/>
                <w:szCs w:val="24"/>
              </w:rPr>
              <w:t xml:space="preserve"> narzędzi umożliwiając</w:t>
            </w:r>
            <w:r w:rsidR="00CF5A5F" w:rsidRPr="00DD0E5F">
              <w:rPr>
                <w:rFonts w:ascii="Times New Roman" w:hAnsi="Times New Roman" w:cs="Times New Roman"/>
                <w:sz w:val="24"/>
                <w:szCs w:val="24"/>
              </w:rPr>
              <w:t>ych</w:t>
            </w:r>
            <w:r w:rsidR="001707A1" w:rsidRPr="00DD0E5F">
              <w:rPr>
                <w:rFonts w:ascii="Times New Roman" w:hAnsi="Times New Roman" w:cs="Times New Roman"/>
                <w:sz w:val="24"/>
                <w:szCs w:val="24"/>
              </w:rPr>
              <w:t xml:space="preserve"> obywatelom, przedsiębiorcom </w:t>
            </w:r>
            <w:r w:rsidR="00B864D2" w:rsidRPr="00DD0E5F">
              <w:rPr>
                <w:rFonts w:ascii="Times New Roman" w:hAnsi="Times New Roman" w:cs="Times New Roman"/>
                <w:sz w:val="24"/>
                <w:szCs w:val="24"/>
              </w:rPr>
              <w:t>i</w:t>
            </w:r>
            <w:r w:rsidR="001707A1" w:rsidRPr="00DD0E5F">
              <w:rPr>
                <w:rFonts w:ascii="Times New Roman" w:hAnsi="Times New Roman" w:cs="Times New Roman"/>
                <w:sz w:val="24"/>
                <w:szCs w:val="24"/>
              </w:rPr>
              <w:t xml:space="preserve"> podmiotom sektora publicznego skuteczne i przyjazne doręczenia dokumentów w</w:t>
            </w:r>
            <w:r w:rsidR="00EC6F9D" w:rsidRPr="00DD0E5F">
              <w:rPr>
                <w:rFonts w:ascii="Times New Roman" w:hAnsi="Times New Roman" w:cs="Times New Roman"/>
                <w:sz w:val="24"/>
                <w:szCs w:val="24"/>
              </w:rPr>
              <w:t> </w:t>
            </w:r>
            <w:r w:rsidR="001707A1" w:rsidRPr="00DD0E5F">
              <w:rPr>
                <w:rFonts w:ascii="Times New Roman" w:hAnsi="Times New Roman" w:cs="Times New Roman"/>
                <w:sz w:val="24"/>
                <w:szCs w:val="24"/>
              </w:rPr>
              <w:t>postaci elektronicznej</w:t>
            </w:r>
            <w:r w:rsidR="00E758A0" w:rsidRPr="00DD0E5F">
              <w:rPr>
                <w:rFonts w:ascii="Times New Roman" w:hAnsi="Times New Roman" w:cs="Times New Roman"/>
                <w:sz w:val="24"/>
                <w:szCs w:val="24"/>
              </w:rPr>
              <w:t xml:space="preserve"> i w postaci przesyłki hybrydowej</w:t>
            </w:r>
            <w:r w:rsidR="00CF5A5F" w:rsidRPr="00DD0E5F">
              <w:rPr>
                <w:rFonts w:ascii="Times New Roman" w:hAnsi="Times New Roman" w:cs="Times New Roman"/>
                <w:sz w:val="24"/>
                <w:szCs w:val="24"/>
              </w:rPr>
              <w:t>.</w:t>
            </w:r>
            <w:r w:rsidR="003544B3" w:rsidRPr="00DD0E5F">
              <w:rPr>
                <w:rFonts w:ascii="Times New Roman" w:hAnsi="Times New Roman" w:cs="Times New Roman"/>
                <w:sz w:val="24"/>
                <w:szCs w:val="24"/>
              </w:rPr>
              <w:t xml:space="preserve"> </w:t>
            </w:r>
          </w:p>
          <w:p w14:paraId="7DC32A52" w14:textId="77777777" w:rsidR="00871A39" w:rsidRPr="00DD0E5F" w:rsidRDefault="00CF5A5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R</w:t>
            </w:r>
            <w:r w:rsidR="00630DB2" w:rsidRPr="00DD0E5F">
              <w:rPr>
                <w:rFonts w:ascii="Times New Roman" w:hAnsi="Times New Roman" w:cs="Times New Roman"/>
                <w:sz w:val="24"/>
                <w:szCs w:val="24"/>
              </w:rPr>
              <w:t xml:space="preserve">ozwiązanie </w:t>
            </w:r>
            <w:r w:rsidR="00943AB8" w:rsidRPr="00DD0E5F">
              <w:rPr>
                <w:rFonts w:ascii="Times New Roman" w:hAnsi="Times New Roman" w:cs="Times New Roman"/>
                <w:sz w:val="24"/>
                <w:szCs w:val="24"/>
              </w:rPr>
              <w:t xml:space="preserve">techniczne wraz z wypracowanym </w:t>
            </w:r>
            <w:r w:rsidR="00346DF4" w:rsidRPr="00DD0E5F">
              <w:rPr>
                <w:rFonts w:ascii="Times New Roman" w:hAnsi="Times New Roman" w:cs="Times New Roman"/>
                <w:sz w:val="24"/>
                <w:szCs w:val="24"/>
              </w:rPr>
              <w:t xml:space="preserve">standardem </w:t>
            </w:r>
            <w:r w:rsidR="001A069B" w:rsidRPr="00DD0E5F">
              <w:rPr>
                <w:rFonts w:ascii="Times New Roman" w:hAnsi="Times New Roman" w:cs="Times New Roman"/>
                <w:sz w:val="24"/>
                <w:szCs w:val="24"/>
              </w:rPr>
              <w:t>będzie</w:t>
            </w:r>
            <w:r w:rsidR="001707A1" w:rsidRPr="00DD0E5F">
              <w:rPr>
                <w:rFonts w:ascii="Times New Roman" w:hAnsi="Times New Roman" w:cs="Times New Roman"/>
                <w:sz w:val="24"/>
                <w:szCs w:val="24"/>
              </w:rPr>
              <w:t xml:space="preserve"> zgodne z wymaganiami dla usługi rejestrowanego doręczenia elektronicznego</w:t>
            </w:r>
            <w:r w:rsidR="00630DB2" w:rsidRPr="00DD0E5F">
              <w:rPr>
                <w:rFonts w:ascii="Times New Roman" w:hAnsi="Times New Roman" w:cs="Times New Roman"/>
                <w:sz w:val="24"/>
                <w:szCs w:val="24"/>
              </w:rPr>
              <w:t>,</w:t>
            </w:r>
            <w:r w:rsidR="001707A1" w:rsidRPr="00DD0E5F">
              <w:rPr>
                <w:rFonts w:ascii="Times New Roman" w:hAnsi="Times New Roman" w:cs="Times New Roman"/>
                <w:sz w:val="24"/>
                <w:szCs w:val="24"/>
              </w:rPr>
              <w:t xml:space="preserve"> </w:t>
            </w:r>
            <w:r w:rsidR="0090186A" w:rsidRPr="00DD0E5F">
              <w:rPr>
                <w:rFonts w:ascii="Times New Roman" w:hAnsi="Times New Roman" w:cs="Times New Roman"/>
                <w:sz w:val="24"/>
                <w:szCs w:val="24"/>
              </w:rPr>
              <w:t xml:space="preserve">określonymi </w:t>
            </w:r>
            <w:r w:rsidR="001707A1" w:rsidRPr="00DD0E5F">
              <w:rPr>
                <w:rFonts w:ascii="Times New Roman" w:hAnsi="Times New Roman" w:cs="Times New Roman"/>
                <w:sz w:val="24"/>
                <w:szCs w:val="24"/>
              </w:rPr>
              <w:t>w</w:t>
            </w:r>
            <w:r w:rsidR="00D701EE" w:rsidRPr="00DD0E5F">
              <w:rPr>
                <w:rFonts w:ascii="Times New Roman" w:hAnsi="Times New Roman" w:cs="Times New Roman"/>
                <w:sz w:val="24"/>
                <w:szCs w:val="24"/>
              </w:rPr>
              <w:t> </w:t>
            </w:r>
            <w:r w:rsidR="001707A1" w:rsidRPr="00DD0E5F">
              <w:rPr>
                <w:rFonts w:ascii="Times New Roman" w:hAnsi="Times New Roman" w:cs="Times New Roman"/>
                <w:sz w:val="24"/>
                <w:szCs w:val="24"/>
              </w:rPr>
              <w:t>Rozporządzeniu Parlamentu Europejskiego i</w:t>
            </w:r>
            <w:r w:rsidR="00A83D03" w:rsidRPr="00DD0E5F">
              <w:rPr>
                <w:rFonts w:ascii="Times New Roman" w:hAnsi="Times New Roman" w:cs="Times New Roman"/>
                <w:sz w:val="24"/>
                <w:szCs w:val="24"/>
              </w:rPr>
              <w:t> </w:t>
            </w:r>
            <w:r w:rsidR="001707A1" w:rsidRPr="00DD0E5F">
              <w:rPr>
                <w:rFonts w:ascii="Times New Roman" w:hAnsi="Times New Roman" w:cs="Times New Roman"/>
                <w:sz w:val="24"/>
                <w:szCs w:val="24"/>
              </w:rPr>
              <w:t xml:space="preserve">Rady (UE) nr 910/2014 z dnia 23 lipca 2014 r. </w:t>
            </w:r>
            <w:r w:rsidR="0090186A" w:rsidRPr="00DD0E5F">
              <w:rPr>
                <w:rFonts w:ascii="Times New Roman" w:hAnsi="Times New Roman" w:cs="Times New Roman"/>
                <w:sz w:val="24"/>
                <w:szCs w:val="24"/>
              </w:rPr>
              <w:t>w sprawie identyfikacji elektronicznej i usług zaufania w</w:t>
            </w:r>
            <w:r w:rsidR="00CD5E06" w:rsidRPr="00DD0E5F">
              <w:rPr>
                <w:rFonts w:ascii="Times New Roman" w:hAnsi="Times New Roman" w:cs="Times New Roman"/>
                <w:sz w:val="24"/>
                <w:szCs w:val="24"/>
              </w:rPr>
              <w:t> </w:t>
            </w:r>
            <w:r w:rsidR="0090186A" w:rsidRPr="00DD0E5F">
              <w:rPr>
                <w:rFonts w:ascii="Times New Roman" w:hAnsi="Times New Roman" w:cs="Times New Roman"/>
                <w:sz w:val="24"/>
                <w:szCs w:val="24"/>
              </w:rPr>
              <w:t>odniesieniu do transakcji elektronicznych na r</w:t>
            </w:r>
            <w:r w:rsidR="00874C60" w:rsidRPr="00DD0E5F">
              <w:rPr>
                <w:rFonts w:ascii="Times New Roman" w:hAnsi="Times New Roman" w:cs="Times New Roman"/>
                <w:sz w:val="24"/>
                <w:szCs w:val="24"/>
              </w:rPr>
              <w:t>ynku wewnętrznym oraz uchylającym</w:t>
            </w:r>
            <w:r w:rsidR="0090186A" w:rsidRPr="00DD0E5F">
              <w:rPr>
                <w:rFonts w:ascii="Times New Roman" w:hAnsi="Times New Roman" w:cs="Times New Roman"/>
                <w:sz w:val="24"/>
                <w:szCs w:val="24"/>
              </w:rPr>
              <w:t xml:space="preserve"> dyrektywę 1999/93/WE (</w:t>
            </w:r>
            <w:r w:rsidR="00874C60" w:rsidRPr="00DD0E5F">
              <w:rPr>
                <w:rFonts w:ascii="Times New Roman" w:hAnsi="Times New Roman" w:cs="Times New Roman"/>
                <w:sz w:val="24"/>
                <w:szCs w:val="24"/>
              </w:rPr>
              <w:t xml:space="preserve">rozporządzenie </w:t>
            </w:r>
            <w:r w:rsidR="0090186A" w:rsidRPr="00DD0E5F">
              <w:rPr>
                <w:rFonts w:ascii="Times New Roman" w:hAnsi="Times New Roman" w:cs="Times New Roman"/>
                <w:sz w:val="24"/>
                <w:szCs w:val="24"/>
              </w:rPr>
              <w:t>eIDAS)</w:t>
            </w:r>
            <w:r w:rsidR="001707A1" w:rsidRPr="00DD0E5F">
              <w:rPr>
                <w:rFonts w:ascii="Times New Roman" w:hAnsi="Times New Roman" w:cs="Times New Roman"/>
                <w:sz w:val="24"/>
                <w:szCs w:val="24"/>
              </w:rPr>
              <w:t>.</w:t>
            </w:r>
          </w:p>
          <w:p w14:paraId="433B894B" w14:textId="77777777" w:rsidR="00F76A4C" w:rsidRPr="00DD0E5F" w:rsidRDefault="00F76A4C" w:rsidP="00052A6C">
            <w:pPr>
              <w:ind w:left="62" w:right="159"/>
              <w:jc w:val="both"/>
              <w:rPr>
                <w:rFonts w:ascii="Times New Roman" w:hAnsi="Times New Roman" w:cs="Times New Roman"/>
                <w:iCs/>
                <w:sz w:val="24"/>
                <w:szCs w:val="24"/>
              </w:rPr>
            </w:pPr>
            <w:r w:rsidRPr="00DD0E5F">
              <w:rPr>
                <w:rFonts w:ascii="Times New Roman" w:hAnsi="Times New Roman" w:cs="Times New Roman"/>
                <w:iCs/>
                <w:sz w:val="24"/>
                <w:szCs w:val="24"/>
              </w:rPr>
              <w:t>Projektowane rozwiązanie zakłada zintegrowanie powyższych usług</w:t>
            </w:r>
            <w:r w:rsidR="00CF5A5F" w:rsidRPr="00DD0E5F">
              <w:rPr>
                <w:rFonts w:ascii="Times New Roman" w:hAnsi="Times New Roman" w:cs="Times New Roman"/>
                <w:iCs/>
                <w:sz w:val="24"/>
                <w:szCs w:val="24"/>
              </w:rPr>
              <w:t xml:space="preserve"> </w:t>
            </w:r>
            <w:r w:rsidR="00EA0361" w:rsidRPr="00DD0E5F">
              <w:rPr>
                <w:rFonts w:ascii="Times New Roman" w:hAnsi="Times New Roman" w:cs="Times New Roman"/>
                <w:iCs/>
                <w:sz w:val="24"/>
                <w:szCs w:val="24"/>
              </w:rPr>
              <w:t>tak</w:t>
            </w:r>
            <w:r w:rsidR="00A83D03" w:rsidRPr="00DD0E5F">
              <w:rPr>
                <w:rFonts w:ascii="Times New Roman" w:hAnsi="Times New Roman" w:cs="Times New Roman"/>
                <w:iCs/>
                <w:sz w:val="24"/>
                <w:szCs w:val="24"/>
              </w:rPr>
              <w:t>,</w:t>
            </w:r>
            <w:r w:rsidRPr="00DD0E5F">
              <w:rPr>
                <w:rFonts w:ascii="Times New Roman" w:hAnsi="Times New Roman" w:cs="Times New Roman"/>
                <w:iCs/>
                <w:sz w:val="24"/>
                <w:szCs w:val="24"/>
              </w:rPr>
              <w:t xml:space="preserve"> </w:t>
            </w:r>
            <w:r w:rsidR="00CF5A5F" w:rsidRPr="00DD0E5F">
              <w:rPr>
                <w:rFonts w:ascii="Times New Roman" w:hAnsi="Times New Roman" w:cs="Times New Roman"/>
                <w:iCs/>
                <w:sz w:val="24"/>
                <w:szCs w:val="24"/>
              </w:rPr>
              <w:t>aby możliwa była realizacja następujących założeń</w:t>
            </w:r>
            <w:r w:rsidRPr="00DD0E5F">
              <w:rPr>
                <w:rFonts w:ascii="Times New Roman" w:hAnsi="Times New Roman" w:cs="Times New Roman"/>
                <w:iCs/>
                <w:sz w:val="24"/>
                <w:szCs w:val="24"/>
              </w:rPr>
              <w:t>:</w:t>
            </w:r>
          </w:p>
          <w:p w14:paraId="5E0EE5AD" w14:textId="77777777" w:rsidR="00F76A4C"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korespondencja </w:t>
            </w:r>
            <w:r w:rsidR="00761127" w:rsidRPr="00DD0E5F">
              <w:rPr>
                <w:rFonts w:ascii="Times New Roman" w:hAnsi="Times New Roman" w:cs="Times New Roman"/>
                <w:iCs/>
                <w:sz w:val="24"/>
                <w:szCs w:val="24"/>
              </w:rPr>
              <w:t xml:space="preserve">co do zasady </w:t>
            </w:r>
            <w:r w:rsidR="00C7193B" w:rsidRPr="00DD0E5F">
              <w:rPr>
                <w:rFonts w:ascii="Times New Roman" w:hAnsi="Times New Roman" w:cs="Times New Roman"/>
                <w:iCs/>
                <w:sz w:val="24"/>
                <w:szCs w:val="24"/>
              </w:rPr>
              <w:t xml:space="preserve">będzie </w:t>
            </w:r>
            <w:r w:rsidRPr="00DD0E5F">
              <w:rPr>
                <w:rFonts w:ascii="Times New Roman" w:hAnsi="Times New Roman" w:cs="Times New Roman"/>
                <w:iCs/>
                <w:sz w:val="24"/>
                <w:szCs w:val="24"/>
              </w:rPr>
              <w:t xml:space="preserve">nadawana i odbierana przez podmiot publiczny wyłącznie </w:t>
            </w:r>
            <w:r w:rsidR="00C7193B" w:rsidRPr="00DD0E5F">
              <w:rPr>
                <w:rFonts w:ascii="Times New Roman" w:hAnsi="Times New Roman" w:cs="Times New Roman"/>
                <w:iCs/>
                <w:sz w:val="24"/>
                <w:szCs w:val="24"/>
              </w:rPr>
              <w:t>w</w:t>
            </w:r>
            <w:r w:rsidR="00F92691" w:rsidRPr="00DD0E5F">
              <w:rPr>
                <w:rFonts w:ascii="Times New Roman" w:hAnsi="Times New Roman" w:cs="Times New Roman"/>
                <w:iCs/>
                <w:sz w:val="24"/>
                <w:szCs w:val="24"/>
              </w:rPr>
              <w:t> </w:t>
            </w:r>
            <w:r w:rsidR="00C7193B" w:rsidRPr="00DD0E5F">
              <w:rPr>
                <w:rFonts w:ascii="Times New Roman" w:hAnsi="Times New Roman" w:cs="Times New Roman"/>
                <w:iCs/>
                <w:sz w:val="24"/>
                <w:szCs w:val="24"/>
              </w:rPr>
              <w:t xml:space="preserve">postaci </w:t>
            </w:r>
            <w:r w:rsidRPr="00DD0E5F">
              <w:rPr>
                <w:rFonts w:ascii="Times New Roman" w:hAnsi="Times New Roman" w:cs="Times New Roman"/>
                <w:iCs/>
                <w:sz w:val="24"/>
                <w:szCs w:val="24"/>
              </w:rPr>
              <w:t>elektroniczn</w:t>
            </w:r>
            <w:r w:rsidR="00C7193B" w:rsidRPr="00DD0E5F">
              <w:rPr>
                <w:rFonts w:ascii="Times New Roman" w:hAnsi="Times New Roman" w:cs="Times New Roman"/>
                <w:iCs/>
                <w:sz w:val="24"/>
                <w:szCs w:val="24"/>
              </w:rPr>
              <w:t>ej</w:t>
            </w:r>
            <w:r w:rsidR="00761127" w:rsidRPr="00DD0E5F">
              <w:rPr>
                <w:rStyle w:val="Odwoanieprzypisudolnego"/>
                <w:rFonts w:ascii="Times New Roman" w:hAnsi="Times New Roman" w:cs="Times New Roman"/>
                <w:iCs/>
                <w:sz w:val="24"/>
                <w:szCs w:val="24"/>
              </w:rPr>
              <w:footnoteReference w:id="8"/>
            </w:r>
            <w:r w:rsidRPr="00DD0E5F">
              <w:rPr>
                <w:rFonts w:ascii="Times New Roman" w:hAnsi="Times New Roman" w:cs="Times New Roman"/>
                <w:iCs/>
                <w:sz w:val="24"/>
                <w:szCs w:val="24"/>
              </w:rPr>
              <w:t xml:space="preserve">, </w:t>
            </w:r>
          </w:p>
          <w:p w14:paraId="7C8DF91B" w14:textId="77777777" w:rsidR="00F76A4C"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do obsługi korespondencji elektronicznej podmiotów publicznych wykorzystywane będą </w:t>
            </w:r>
            <w:r w:rsidR="00833049" w:rsidRPr="00DD0E5F">
              <w:rPr>
                <w:rFonts w:ascii="Times New Roman" w:hAnsi="Times New Roman" w:cs="Times New Roman"/>
                <w:iCs/>
                <w:sz w:val="24"/>
                <w:szCs w:val="24"/>
              </w:rPr>
              <w:t xml:space="preserve">Elektroniczne Skrzynki Podawcze (ESP) </w:t>
            </w:r>
            <w:r w:rsidRPr="00DD0E5F">
              <w:rPr>
                <w:rFonts w:ascii="Times New Roman" w:hAnsi="Times New Roman" w:cs="Times New Roman"/>
                <w:iCs/>
                <w:sz w:val="24"/>
                <w:szCs w:val="24"/>
              </w:rPr>
              <w:t xml:space="preserve">udostępnione przez </w:t>
            </w:r>
            <w:r w:rsidR="005E5A43" w:rsidRPr="00DD0E5F">
              <w:rPr>
                <w:rFonts w:ascii="Times New Roman" w:hAnsi="Times New Roman" w:cs="Times New Roman"/>
                <w:iCs/>
                <w:sz w:val="24"/>
                <w:szCs w:val="24"/>
              </w:rPr>
              <w:t>operatora wyznaczonego</w:t>
            </w:r>
            <w:r w:rsidR="00CF5A5F" w:rsidRPr="00DD0E5F">
              <w:rPr>
                <w:rFonts w:ascii="Times New Roman" w:hAnsi="Times New Roman" w:cs="Times New Roman"/>
                <w:iCs/>
                <w:sz w:val="24"/>
                <w:szCs w:val="24"/>
              </w:rPr>
              <w:t>,</w:t>
            </w:r>
          </w:p>
          <w:p w14:paraId="6D9A8A26" w14:textId="77777777" w:rsidR="00446C23" w:rsidRPr="00DD0E5F" w:rsidRDefault="00446C23"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do obsługi korespondencji elektronicznej podmiotów niepublicznych wykorzystywane będą Elektroniczne Skrzynki Doręczeń (ESD) udostępnione przez </w:t>
            </w:r>
            <w:r w:rsidR="005E5A43" w:rsidRPr="00DD0E5F">
              <w:rPr>
                <w:rFonts w:ascii="Times New Roman" w:hAnsi="Times New Roman" w:cs="Times New Roman"/>
                <w:iCs/>
                <w:sz w:val="24"/>
                <w:szCs w:val="24"/>
              </w:rPr>
              <w:t xml:space="preserve">operatora wyznaczonego </w:t>
            </w:r>
            <w:r w:rsidRPr="00DD0E5F">
              <w:rPr>
                <w:rFonts w:ascii="Times New Roman" w:hAnsi="Times New Roman" w:cs="Times New Roman"/>
                <w:iCs/>
                <w:sz w:val="24"/>
                <w:szCs w:val="24"/>
              </w:rPr>
              <w:t>lub Kwalifikowane Skrzynki Doręczeń (KSD) udostępnione przez kwalifikowanych dostawców usług zaufania</w:t>
            </w:r>
            <w:r w:rsidR="00CF5A5F" w:rsidRPr="00DD0E5F">
              <w:rPr>
                <w:rFonts w:ascii="Times New Roman" w:hAnsi="Times New Roman" w:cs="Times New Roman"/>
                <w:iCs/>
                <w:sz w:val="24"/>
                <w:szCs w:val="24"/>
              </w:rPr>
              <w:t>,</w:t>
            </w:r>
          </w:p>
          <w:p w14:paraId="5CB2D20F" w14:textId="77777777" w:rsidR="00FF442D" w:rsidRPr="00DD0E5F" w:rsidRDefault="00FF442D"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przedsiębiorca prowadzący działalność gospodarczą wpisany do CEIDG będzie zobowiązany do posiadania elektronicznej skrzynki do doręczeń (ESD lub KSD) i wykorzystywania jej do komunikacji w zakresie spraw związanych z prowadzoną działalnością gospodarczą</w:t>
            </w:r>
            <w:r w:rsidR="00F92691" w:rsidRPr="00DD0E5F">
              <w:rPr>
                <w:rFonts w:ascii="Times New Roman" w:hAnsi="Times New Roman" w:cs="Times New Roman"/>
                <w:iCs/>
                <w:sz w:val="24"/>
                <w:szCs w:val="24"/>
              </w:rPr>
              <w:t>,</w:t>
            </w:r>
          </w:p>
          <w:p w14:paraId="533165D6" w14:textId="77777777" w:rsidR="00FF442D" w:rsidRPr="00DD0E5F" w:rsidRDefault="00E7640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podmioty wpisane do KRS</w:t>
            </w:r>
            <w:r w:rsidRPr="00DD0E5F">
              <w:rPr>
                <w:rStyle w:val="Odwoanieprzypisudolnego"/>
                <w:rFonts w:ascii="Times New Roman" w:hAnsi="Times New Roman" w:cs="Times New Roman"/>
                <w:iCs/>
                <w:sz w:val="24"/>
                <w:szCs w:val="24"/>
              </w:rPr>
              <w:footnoteReference w:id="9"/>
            </w:r>
            <w:r w:rsidRPr="00DD0E5F">
              <w:rPr>
                <w:rFonts w:ascii="Times New Roman" w:hAnsi="Times New Roman" w:cs="Times New Roman"/>
                <w:iCs/>
                <w:sz w:val="24"/>
                <w:szCs w:val="24"/>
              </w:rPr>
              <w:t xml:space="preserve"> będą zobligowane do posiadania elektronicznej skrzynki do doręczeń (ESD lub KSD)</w:t>
            </w:r>
            <w:r w:rsidR="00F47731" w:rsidRPr="00DD0E5F">
              <w:rPr>
                <w:rFonts w:ascii="Times New Roman" w:hAnsi="Times New Roman" w:cs="Times New Roman"/>
                <w:iCs/>
                <w:sz w:val="24"/>
                <w:szCs w:val="24"/>
              </w:rPr>
              <w:t xml:space="preserve"> na analogicznych do powyższych zasadach</w:t>
            </w:r>
            <w:r w:rsidR="00F92691" w:rsidRPr="00DD0E5F">
              <w:rPr>
                <w:rFonts w:ascii="Times New Roman" w:hAnsi="Times New Roman" w:cs="Times New Roman"/>
                <w:iCs/>
                <w:sz w:val="24"/>
                <w:szCs w:val="24"/>
              </w:rPr>
              <w:t>,</w:t>
            </w:r>
          </w:p>
          <w:p w14:paraId="291C9B29" w14:textId="77777777" w:rsidR="008F0092" w:rsidRPr="00DD0E5F" w:rsidRDefault="008F0092"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utworzona zostanie Baza Adresów Elektronicznych (BAE),</w:t>
            </w:r>
            <w:r w:rsidR="00922DCD" w:rsidRPr="00DD0E5F">
              <w:rPr>
                <w:rFonts w:ascii="Times New Roman" w:eastAsiaTheme="minorEastAsia" w:hAnsi="Times New Roman" w:cs="Times New Roman"/>
                <w:sz w:val="24"/>
                <w:szCs w:val="24"/>
                <w:lang w:eastAsia="pl-PL"/>
              </w:rPr>
              <w:t xml:space="preserve"> </w:t>
            </w:r>
            <w:r w:rsidR="00922DCD" w:rsidRPr="00DD0E5F">
              <w:rPr>
                <w:rFonts w:ascii="Times New Roman" w:hAnsi="Times New Roman" w:cs="Times New Roman"/>
                <w:iCs/>
                <w:sz w:val="24"/>
                <w:szCs w:val="24"/>
              </w:rPr>
              <w:t>prowadzona przez ministra właściwego do spraw informatyzacji zawierająca adresy elektronicznych skrzynek podawczych (ESP), elektronicznych skrzynek doręczeń (ESD) i wpisan</w:t>
            </w:r>
            <w:r w:rsidR="00F47731" w:rsidRPr="00DD0E5F">
              <w:rPr>
                <w:rFonts w:ascii="Times New Roman" w:hAnsi="Times New Roman" w:cs="Times New Roman"/>
                <w:iCs/>
                <w:sz w:val="24"/>
                <w:szCs w:val="24"/>
              </w:rPr>
              <w:t>e</w:t>
            </w:r>
            <w:r w:rsidR="00922DCD" w:rsidRPr="00DD0E5F">
              <w:rPr>
                <w:rFonts w:ascii="Times New Roman" w:hAnsi="Times New Roman" w:cs="Times New Roman"/>
                <w:iCs/>
                <w:sz w:val="24"/>
                <w:szCs w:val="24"/>
              </w:rPr>
              <w:t xml:space="preserve"> do nie</w:t>
            </w:r>
            <w:r w:rsidR="00F47731" w:rsidRPr="00DD0E5F">
              <w:rPr>
                <w:rFonts w:ascii="Times New Roman" w:hAnsi="Times New Roman" w:cs="Times New Roman"/>
                <w:iCs/>
                <w:sz w:val="24"/>
                <w:szCs w:val="24"/>
              </w:rPr>
              <w:t>j</w:t>
            </w:r>
            <w:r w:rsidR="00922DCD" w:rsidRPr="00DD0E5F">
              <w:rPr>
                <w:rFonts w:ascii="Times New Roman" w:hAnsi="Times New Roman" w:cs="Times New Roman"/>
                <w:iCs/>
                <w:sz w:val="24"/>
                <w:szCs w:val="24"/>
              </w:rPr>
              <w:t xml:space="preserve"> adres</w:t>
            </w:r>
            <w:r w:rsidR="00F47731" w:rsidRPr="00DD0E5F">
              <w:rPr>
                <w:rFonts w:ascii="Times New Roman" w:hAnsi="Times New Roman" w:cs="Times New Roman"/>
                <w:iCs/>
                <w:sz w:val="24"/>
                <w:szCs w:val="24"/>
              </w:rPr>
              <w:t>y</w:t>
            </w:r>
            <w:r w:rsidR="00922DCD" w:rsidRPr="00DD0E5F">
              <w:rPr>
                <w:rFonts w:ascii="Times New Roman" w:hAnsi="Times New Roman" w:cs="Times New Roman"/>
                <w:iCs/>
                <w:sz w:val="24"/>
                <w:szCs w:val="24"/>
              </w:rPr>
              <w:t xml:space="preserve"> kwalifikowanych skrzynek doręczeń (KSD), </w:t>
            </w:r>
          </w:p>
          <w:p w14:paraId="49793442" w14:textId="77777777" w:rsidR="0099762D"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korespondencja nadawana przez podmiot publiczny do podmiotu niepublicznego będzie doręczana przez </w:t>
            </w:r>
            <w:r w:rsidR="00AC1DCD" w:rsidRPr="00DD0E5F">
              <w:rPr>
                <w:rFonts w:ascii="Times New Roman" w:hAnsi="Times New Roman" w:cs="Times New Roman"/>
                <w:iCs/>
                <w:sz w:val="24"/>
                <w:szCs w:val="24"/>
              </w:rPr>
              <w:t xml:space="preserve">operatora wyznaczonego </w:t>
            </w:r>
            <w:r w:rsidRPr="00DD0E5F">
              <w:rPr>
                <w:rFonts w:ascii="Times New Roman" w:hAnsi="Times New Roman" w:cs="Times New Roman"/>
                <w:iCs/>
                <w:sz w:val="24"/>
                <w:szCs w:val="24"/>
              </w:rPr>
              <w:t xml:space="preserve">w postaci elektronicznej </w:t>
            </w:r>
            <w:r w:rsidR="00C71318" w:rsidRPr="00DD0E5F">
              <w:rPr>
                <w:rFonts w:ascii="Times New Roman" w:hAnsi="Times New Roman" w:cs="Times New Roman"/>
                <w:iCs/>
                <w:sz w:val="24"/>
                <w:szCs w:val="24"/>
              </w:rPr>
              <w:t xml:space="preserve">albo </w:t>
            </w:r>
            <w:r w:rsidRPr="00DD0E5F">
              <w:rPr>
                <w:rFonts w:ascii="Times New Roman" w:hAnsi="Times New Roman" w:cs="Times New Roman"/>
                <w:iCs/>
                <w:sz w:val="24"/>
                <w:szCs w:val="24"/>
              </w:rPr>
              <w:t xml:space="preserve">w postaci papierowej </w:t>
            </w:r>
            <w:r w:rsidR="00F47731" w:rsidRPr="00DD0E5F">
              <w:rPr>
                <w:rFonts w:ascii="Times New Roman" w:hAnsi="Times New Roman" w:cs="Times New Roman"/>
                <w:iCs/>
                <w:sz w:val="24"/>
                <w:szCs w:val="24"/>
              </w:rPr>
              <w:t xml:space="preserve">(zależnie od tego czy </w:t>
            </w:r>
            <w:r w:rsidR="005845C5" w:rsidRPr="00DD0E5F">
              <w:rPr>
                <w:rFonts w:ascii="Times New Roman" w:hAnsi="Times New Roman" w:cs="Times New Roman"/>
                <w:iCs/>
                <w:sz w:val="24"/>
                <w:szCs w:val="24"/>
              </w:rPr>
              <w:t xml:space="preserve">adresat </w:t>
            </w:r>
            <w:r w:rsidR="00F47731" w:rsidRPr="00DD0E5F">
              <w:rPr>
                <w:rFonts w:ascii="Times New Roman" w:hAnsi="Times New Roman" w:cs="Times New Roman"/>
                <w:iCs/>
                <w:sz w:val="24"/>
                <w:szCs w:val="24"/>
              </w:rPr>
              <w:t xml:space="preserve">posiada wpisany do </w:t>
            </w:r>
            <w:r w:rsidR="005845C5" w:rsidRPr="00DD0E5F">
              <w:rPr>
                <w:rFonts w:ascii="Times New Roman" w:hAnsi="Times New Roman" w:cs="Times New Roman"/>
                <w:iCs/>
                <w:sz w:val="24"/>
                <w:szCs w:val="24"/>
              </w:rPr>
              <w:t xml:space="preserve">Bazy Adresów Elektronicznych </w:t>
            </w:r>
            <w:r w:rsidR="00F47731" w:rsidRPr="00DD0E5F">
              <w:rPr>
                <w:rFonts w:ascii="Times New Roman" w:hAnsi="Times New Roman" w:cs="Times New Roman"/>
                <w:iCs/>
                <w:sz w:val="24"/>
                <w:szCs w:val="24"/>
              </w:rPr>
              <w:t>adres skrzynki do doręczeń elektronicznych)</w:t>
            </w:r>
            <w:r w:rsidR="0099762D" w:rsidRPr="00DD0E5F">
              <w:rPr>
                <w:rFonts w:ascii="Times New Roman" w:hAnsi="Times New Roman" w:cs="Times New Roman"/>
                <w:iCs/>
                <w:sz w:val="24"/>
                <w:szCs w:val="24"/>
              </w:rPr>
              <w:t>,</w:t>
            </w:r>
            <w:r w:rsidR="0023435B" w:rsidRPr="00DD0E5F">
              <w:rPr>
                <w:rFonts w:ascii="Times New Roman" w:hAnsi="Times New Roman" w:cs="Times New Roman"/>
                <w:iCs/>
                <w:sz w:val="24"/>
                <w:szCs w:val="24"/>
              </w:rPr>
              <w:t xml:space="preserve"> </w:t>
            </w:r>
          </w:p>
          <w:p w14:paraId="49D6A2F0" w14:textId="77777777" w:rsidR="00F76A4C" w:rsidRPr="00DD0E5F" w:rsidRDefault="00F76A4C" w:rsidP="00052A6C">
            <w:pPr>
              <w:pStyle w:val="Akapitzlist"/>
              <w:numPr>
                <w:ilvl w:val="0"/>
                <w:numId w:val="29"/>
              </w:numPr>
              <w:ind w:left="62"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korespondencja nadawana przez podmiot niepubliczny do podmiotu publicznego w postaci papierowej będzie przetwarzana przez </w:t>
            </w:r>
            <w:r w:rsidR="005E5A43" w:rsidRPr="00DD0E5F">
              <w:rPr>
                <w:rFonts w:ascii="Times New Roman" w:hAnsi="Times New Roman" w:cs="Times New Roman"/>
                <w:iCs/>
                <w:sz w:val="24"/>
                <w:szCs w:val="24"/>
              </w:rPr>
              <w:t xml:space="preserve">operatora wyznaczonego </w:t>
            </w:r>
            <w:r w:rsidRPr="00DD0E5F">
              <w:rPr>
                <w:rFonts w:ascii="Times New Roman" w:hAnsi="Times New Roman" w:cs="Times New Roman"/>
                <w:iCs/>
                <w:sz w:val="24"/>
                <w:szCs w:val="24"/>
              </w:rPr>
              <w:t xml:space="preserve">do postaci cyfrowej, a następnie doręczana odpowiedniemu podmiotowi publicznemu na jego </w:t>
            </w:r>
            <w:r w:rsidR="0023435B" w:rsidRPr="00DD0E5F">
              <w:rPr>
                <w:rFonts w:ascii="Times New Roman" w:hAnsi="Times New Roman" w:cs="Times New Roman"/>
                <w:iCs/>
                <w:sz w:val="24"/>
                <w:szCs w:val="24"/>
              </w:rPr>
              <w:t>ESP</w:t>
            </w:r>
            <w:r w:rsidR="00CF5A5F" w:rsidRPr="00DD0E5F">
              <w:rPr>
                <w:rFonts w:ascii="Times New Roman" w:hAnsi="Times New Roman" w:cs="Times New Roman"/>
                <w:iCs/>
                <w:sz w:val="24"/>
                <w:szCs w:val="24"/>
              </w:rPr>
              <w:t>,</w:t>
            </w:r>
          </w:p>
          <w:p w14:paraId="4A35BEA8" w14:textId="77777777" w:rsidR="00F76A4C" w:rsidRPr="00DD0E5F" w:rsidRDefault="00CF5A5F" w:rsidP="00052A6C">
            <w:pPr>
              <w:pStyle w:val="Akapitzlist"/>
              <w:numPr>
                <w:ilvl w:val="0"/>
                <w:numId w:val="29"/>
              </w:numPr>
              <w:spacing w:after="120"/>
              <w:ind w:left="63" w:right="159"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bez względu na </w:t>
            </w:r>
            <w:r w:rsidR="00F76A4C" w:rsidRPr="00DD0E5F">
              <w:rPr>
                <w:rFonts w:ascii="Times New Roman" w:hAnsi="Times New Roman" w:cs="Times New Roman"/>
                <w:iCs/>
                <w:sz w:val="24"/>
                <w:szCs w:val="24"/>
              </w:rPr>
              <w:t xml:space="preserve">wybór sposobu nadania/doręczenia </w:t>
            </w:r>
            <w:r w:rsidR="00351398" w:rsidRPr="00DD0E5F">
              <w:rPr>
                <w:rFonts w:ascii="Times New Roman" w:hAnsi="Times New Roman" w:cs="Times New Roman"/>
                <w:iCs/>
                <w:sz w:val="24"/>
                <w:szCs w:val="24"/>
              </w:rPr>
              <w:t xml:space="preserve">zostanie zachowana tajemnica korespondencji, integralność i </w:t>
            </w:r>
            <w:r w:rsidR="00F76A4C" w:rsidRPr="00DD0E5F">
              <w:rPr>
                <w:rFonts w:ascii="Times New Roman" w:hAnsi="Times New Roman" w:cs="Times New Roman"/>
                <w:iCs/>
                <w:sz w:val="24"/>
                <w:szCs w:val="24"/>
              </w:rPr>
              <w:t>pewność doręcz</w:t>
            </w:r>
            <w:r w:rsidR="00351398" w:rsidRPr="00DD0E5F">
              <w:rPr>
                <w:rFonts w:ascii="Times New Roman" w:hAnsi="Times New Roman" w:cs="Times New Roman"/>
                <w:iCs/>
                <w:sz w:val="24"/>
                <w:szCs w:val="24"/>
              </w:rPr>
              <w:t>a</w:t>
            </w:r>
            <w:r w:rsidR="00F76A4C" w:rsidRPr="00DD0E5F">
              <w:rPr>
                <w:rFonts w:ascii="Times New Roman" w:hAnsi="Times New Roman" w:cs="Times New Roman"/>
                <w:iCs/>
                <w:sz w:val="24"/>
                <w:szCs w:val="24"/>
              </w:rPr>
              <w:t xml:space="preserve">nia </w:t>
            </w:r>
            <w:r w:rsidR="00351398" w:rsidRPr="00DD0E5F">
              <w:rPr>
                <w:rFonts w:ascii="Times New Roman" w:hAnsi="Times New Roman" w:cs="Times New Roman"/>
                <w:iCs/>
                <w:sz w:val="24"/>
                <w:szCs w:val="24"/>
              </w:rPr>
              <w:t xml:space="preserve">wysłanej treści </w:t>
            </w:r>
            <w:r w:rsidR="00F76A4C" w:rsidRPr="00DD0E5F">
              <w:rPr>
                <w:rFonts w:ascii="Times New Roman" w:hAnsi="Times New Roman" w:cs="Times New Roman"/>
                <w:iCs/>
                <w:sz w:val="24"/>
                <w:szCs w:val="24"/>
              </w:rPr>
              <w:t>oraz</w:t>
            </w:r>
            <w:r w:rsidR="00351398" w:rsidRPr="00DD0E5F">
              <w:rPr>
                <w:rFonts w:ascii="Times New Roman" w:hAnsi="Times New Roman" w:cs="Times New Roman"/>
                <w:iCs/>
                <w:sz w:val="24"/>
                <w:szCs w:val="24"/>
              </w:rPr>
              <w:t xml:space="preserve"> powstaną </w:t>
            </w:r>
            <w:r w:rsidR="00F76A4C" w:rsidRPr="00DD0E5F">
              <w:rPr>
                <w:rFonts w:ascii="Times New Roman" w:hAnsi="Times New Roman" w:cs="Times New Roman"/>
                <w:iCs/>
                <w:sz w:val="24"/>
                <w:szCs w:val="24"/>
              </w:rPr>
              <w:t>wiarygodn</w:t>
            </w:r>
            <w:r w:rsidR="00351398" w:rsidRPr="00DD0E5F">
              <w:rPr>
                <w:rFonts w:ascii="Times New Roman" w:hAnsi="Times New Roman" w:cs="Times New Roman"/>
                <w:iCs/>
                <w:sz w:val="24"/>
                <w:szCs w:val="24"/>
              </w:rPr>
              <w:t>e i akceptowalne prawnie</w:t>
            </w:r>
            <w:r w:rsidR="00F76A4C" w:rsidRPr="00DD0E5F">
              <w:rPr>
                <w:rFonts w:ascii="Times New Roman" w:hAnsi="Times New Roman" w:cs="Times New Roman"/>
                <w:iCs/>
                <w:sz w:val="24"/>
                <w:szCs w:val="24"/>
              </w:rPr>
              <w:t xml:space="preserve"> </w:t>
            </w:r>
            <w:r w:rsidR="00CB4AA3" w:rsidRPr="00DD0E5F">
              <w:rPr>
                <w:rFonts w:ascii="Times New Roman" w:hAnsi="Times New Roman" w:cs="Times New Roman"/>
                <w:iCs/>
                <w:sz w:val="24"/>
                <w:szCs w:val="24"/>
              </w:rPr>
              <w:t>dowod</w:t>
            </w:r>
            <w:r w:rsidR="00351398" w:rsidRPr="00DD0E5F">
              <w:rPr>
                <w:rFonts w:ascii="Times New Roman" w:hAnsi="Times New Roman" w:cs="Times New Roman"/>
                <w:iCs/>
                <w:sz w:val="24"/>
                <w:szCs w:val="24"/>
              </w:rPr>
              <w:t>y</w:t>
            </w:r>
            <w:r w:rsidR="00CB4AA3" w:rsidRPr="00DD0E5F">
              <w:rPr>
                <w:rFonts w:ascii="Times New Roman" w:hAnsi="Times New Roman" w:cs="Times New Roman"/>
                <w:iCs/>
                <w:sz w:val="24"/>
                <w:szCs w:val="24"/>
              </w:rPr>
              <w:t xml:space="preserve"> wysłania i </w:t>
            </w:r>
            <w:r w:rsidR="00F47731" w:rsidRPr="00DD0E5F">
              <w:rPr>
                <w:rFonts w:ascii="Times New Roman" w:hAnsi="Times New Roman" w:cs="Times New Roman"/>
                <w:iCs/>
                <w:sz w:val="24"/>
                <w:szCs w:val="24"/>
              </w:rPr>
              <w:t>otrzymania</w:t>
            </w:r>
            <w:r w:rsidR="00F76A4C" w:rsidRPr="00DD0E5F">
              <w:rPr>
                <w:rFonts w:ascii="Times New Roman" w:hAnsi="Times New Roman" w:cs="Times New Roman"/>
                <w:iCs/>
                <w:sz w:val="24"/>
                <w:szCs w:val="24"/>
              </w:rPr>
              <w:t>.</w:t>
            </w:r>
          </w:p>
          <w:p w14:paraId="0AE01B56" w14:textId="7863790F" w:rsidR="00EA0361" w:rsidRPr="00DD0E5F" w:rsidRDefault="00EA0361" w:rsidP="00052A6C">
            <w:pPr>
              <w:ind w:left="62" w:right="159"/>
              <w:jc w:val="both"/>
              <w:rPr>
                <w:rFonts w:ascii="Times New Roman" w:hAnsi="Times New Roman" w:cs="Times New Roman"/>
                <w:sz w:val="24"/>
                <w:szCs w:val="24"/>
              </w:rPr>
            </w:pPr>
            <w:r w:rsidRPr="00DD0E5F">
              <w:rPr>
                <w:rFonts w:ascii="Times New Roman" w:hAnsi="Times New Roman" w:cs="Times New Roman"/>
                <w:iCs/>
                <w:sz w:val="24"/>
                <w:szCs w:val="24"/>
              </w:rPr>
              <w:t>Do świadczenia publicznej usługi rejestrowanego doręczenia elektronicznego oraz publicznej usługi hybrydowej w kontaktach z podmiotami publicznymi obowiązany będzie operator wyznaczony</w:t>
            </w:r>
            <w:r w:rsidR="00AE7F09" w:rsidRPr="00DD0E5F">
              <w:rPr>
                <w:rStyle w:val="Odwoanieprzypisudolnego"/>
                <w:rFonts w:ascii="Times New Roman" w:hAnsi="Times New Roman" w:cs="Times New Roman"/>
                <w:iCs/>
                <w:sz w:val="24"/>
                <w:szCs w:val="24"/>
              </w:rPr>
              <w:footnoteReference w:id="10"/>
            </w:r>
            <w:r w:rsidRPr="00DD0E5F">
              <w:rPr>
                <w:rFonts w:ascii="Times New Roman" w:hAnsi="Times New Roman" w:cs="Times New Roman"/>
                <w:iCs/>
                <w:sz w:val="24"/>
                <w:szCs w:val="24"/>
              </w:rPr>
              <w:t xml:space="preserve"> </w:t>
            </w:r>
            <w:r w:rsidR="00AE7F09" w:rsidRPr="00DD0E5F">
              <w:rPr>
                <w:rFonts w:ascii="Times New Roman" w:hAnsi="Times New Roman" w:cs="Times New Roman"/>
                <w:iCs/>
                <w:sz w:val="24"/>
                <w:szCs w:val="24"/>
              </w:rPr>
              <w:t xml:space="preserve"> </w:t>
            </w:r>
            <w:r w:rsidRPr="00DD0E5F">
              <w:rPr>
                <w:rFonts w:ascii="Times New Roman" w:hAnsi="Times New Roman" w:cs="Times New Roman"/>
                <w:iCs/>
                <w:sz w:val="24"/>
                <w:szCs w:val="24"/>
              </w:rPr>
              <w:t>w rozumieniu ustawy z dnia 23 listopada 2012 r. - Prawo pocztowe</w:t>
            </w:r>
            <w:r w:rsidR="00F92691" w:rsidRPr="00DD0E5F">
              <w:rPr>
                <w:rFonts w:ascii="Times New Roman" w:hAnsi="Times New Roman" w:cs="Times New Roman"/>
                <w:iCs/>
                <w:sz w:val="24"/>
                <w:szCs w:val="24"/>
              </w:rPr>
              <w:t>,</w:t>
            </w:r>
            <w:r w:rsidR="00922DCD" w:rsidRPr="00DD0E5F">
              <w:rPr>
                <w:rFonts w:ascii="Times New Roman" w:eastAsiaTheme="minorEastAsia" w:hAnsi="Times New Roman" w:cs="Times New Roman"/>
                <w:sz w:val="24"/>
                <w:szCs w:val="24"/>
                <w:lang w:eastAsia="pl-PL"/>
              </w:rPr>
              <w:t xml:space="preserve"> </w:t>
            </w:r>
            <w:r w:rsidR="00922DCD" w:rsidRPr="00DD0E5F">
              <w:rPr>
                <w:rFonts w:ascii="Times New Roman" w:hAnsi="Times New Roman" w:cs="Times New Roman"/>
                <w:iCs/>
                <w:sz w:val="24"/>
                <w:szCs w:val="24"/>
              </w:rPr>
              <w:t>wpisany do rejestru niekwalifikowanych dostawców usług zaufania, o którym mowa w art. 6 ustawy z dnia 5 września 2016 r. o</w:t>
            </w:r>
            <w:r w:rsidR="00F92691" w:rsidRPr="00DD0E5F">
              <w:rPr>
                <w:rFonts w:ascii="Times New Roman" w:hAnsi="Times New Roman" w:cs="Times New Roman"/>
                <w:iCs/>
                <w:sz w:val="24"/>
                <w:szCs w:val="24"/>
              </w:rPr>
              <w:t> </w:t>
            </w:r>
            <w:r w:rsidR="00922DCD" w:rsidRPr="00DD0E5F">
              <w:rPr>
                <w:rFonts w:ascii="Times New Roman" w:hAnsi="Times New Roman" w:cs="Times New Roman"/>
                <w:iCs/>
                <w:sz w:val="24"/>
                <w:szCs w:val="24"/>
              </w:rPr>
              <w:t xml:space="preserve">usługach zaufania oraz identyfikacji elektronicznej, który </w:t>
            </w:r>
            <w:r w:rsidR="005845C5" w:rsidRPr="00DD0E5F">
              <w:rPr>
                <w:rFonts w:ascii="Times New Roman" w:hAnsi="Times New Roman" w:cs="Times New Roman"/>
                <w:iCs/>
                <w:sz w:val="24"/>
                <w:szCs w:val="24"/>
              </w:rPr>
              <w:t xml:space="preserve">doręczając elektronicznie </w:t>
            </w:r>
            <w:r w:rsidR="00922DCD" w:rsidRPr="00DD0E5F">
              <w:rPr>
                <w:rFonts w:ascii="Times New Roman" w:hAnsi="Times New Roman" w:cs="Times New Roman"/>
                <w:iCs/>
                <w:sz w:val="24"/>
                <w:szCs w:val="24"/>
              </w:rPr>
              <w:t>będzie zapewniać</w:t>
            </w:r>
            <w:r w:rsidR="00F92691" w:rsidRPr="00DD0E5F">
              <w:rPr>
                <w:rFonts w:ascii="Times New Roman" w:hAnsi="Times New Roman" w:cs="Times New Roman"/>
                <w:iCs/>
                <w:sz w:val="24"/>
                <w:szCs w:val="24"/>
              </w:rPr>
              <w:t>:</w:t>
            </w:r>
            <w:r w:rsidRPr="00DD0E5F">
              <w:rPr>
                <w:rFonts w:ascii="Times New Roman" w:hAnsi="Times New Roman" w:cs="Times New Roman"/>
                <w:iCs/>
                <w:sz w:val="24"/>
                <w:szCs w:val="24"/>
              </w:rPr>
              <w:t xml:space="preserve"> </w:t>
            </w:r>
          </w:p>
          <w:p w14:paraId="52855FB9"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t>identyfikację nadawcy;</w:t>
            </w:r>
          </w:p>
          <w:p w14:paraId="61B61FDC"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t>identyfikację adresata przed dostarczeniem danych;</w:t>
            </w:r>
          </w:p>
          <w:p w14:paraId="22F12B17"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r>
            <w:r w:rsidR="00922DCD" w:rsidRPr="00DD0E5F">
              <w:rPr>
                <w:rFonts w:ascii="Times New Roman" w:hAnsi="Times New Roman" w:cs="Times New Roman"/>
                <w:sz w:val="24"/>
                <w:szCs w:val="24"/>
              </w:rPr>
              <w:t xml:space="preserve">zabezpieczenie wysłania </w:t>
            </w:r>
            <w:r w:rsidRPr="00DD0E5F">
              <w:rPr>
                <w:rFonts w:ascii="Times New Roman" w:hAnsi="Times New Roman" w:cs="Times New Roman"/>
                <w:sz w:val="24"/>
                <w:szCs w:val="24"/>
              </w:rPr>
              <w:t xml:space="preserve">i </w:t>
            </w:r>
            <w:r w:rsidR="00922DCD" w:rsidRPr="00DD0E5F">
              <w:rPr>
                <w:rFonts w:ascii="Times New Roman" w:hAnsi="Times New Roman" w:cs="Times New Roman"/>
                <w:sz w:val="24"/>
                <w:szCs w:val="24"/>
              </w:rPr>
              <w:t xml:space="preserve">otrzymania </w:t>
            </w:r>
            <w:r w:rsidRPr="00DD0E5F">
              <w:rPr>
                <w:rFonts w:ascii="Times New Roman" w:hAnsi="Times New Roman" w:cs="Times New Roman"/>
                <w:sz w:val="24"/>
                <w:szCs w:val="24"/>
              </w:rPr>
              <w:t>danych zaawansowaną pieczęcią elektroniczną, w taki sposób, by wykluczyć możliwość niewykrywalnej zmiany danych;</w:t>
            </w:r>
          </w:p>
          <w:p w14:paraId="190EE7FA" w14:textId="77777777" w:rsidR="00CB4AA3" w:rsidRPr="00DD0E5F" w:rsidRDefault="00CB4AA3" w:rsidP="00052A6C">
            <w:pPr>
              <w:ind w:left="62"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t xml:space="preserve">wyraźne </w:t>
            </w:r>
            <w:r w:rsidR="00922DCD" w:rsidRPr="00DD0E5F">
              <w:rPr>
                <w:rFonts w:ascii="Times New Roman" w:hAnsi="Times New Roman" w:cs="Times New Roman"/>
                <w:sz w:val="24"/>
                <w:szCs w:val="24"/>
              </w:rPr>
              <w:t xml:space="preserve">wskazanie </w:t>
            </w:r>
            <w:r w:rsidRPr="00DD0E5F">
              <w:rPr>
                <w:rFonts w:ascii="Times New Roman" w:hAnsi="Times New Roman" w:cs="Times New Roman"/>
                <w:sz w:val="24"/>
                <w:szCs w:val="24"/>
              </w:rPr>
              <w:t xml:space="preserve">nadawcy i adresatowi danych </w:t>
            </w:r>
            <w:r w:rsidR="00922DCD" w:rsidRPr="00DD0E5F">
              <w:rPr>
                <w:rFonts w:ascii="Times New Roman" w:hAnsi="Times New Roman" w:cs="Times New Roman"/>
                <w:sz w:val="24"/>
                <w:szCs w:val="24"/>
              </w:rPr>
              <w:t xml:space="preserve">każdej zmiany </w:t>
            </w:r>
            <w:r w:rsidRPr="00DD0E5F">
              <w:rPr>
                <w:rFonts w:ascii="Times New Roman" w:hAnsi="Times New Roman" w:cs="Times New Roman"/>
                <w:sz w:val="24"/>
                <w:szCs w:val="24"/>
              </w:rPr>
              <w:t xml:space="preserve">danych </w:t>
            </w:r>
            <w:r w:rsidR="00922DCD" w:rsidRPr="00DD0E5F">
              <w:rPr>
                <w:rFonts w:ascii="Times New Roman" w:hAnsi="Times New Roman" w:cs="Times New Roman"/>
                <w:sz w:val="24"/>
                <w:szCs w:val="24"/>
              </w:rPr>
              <w:t xml:space="preserve">niezbędnej </w:t>
            </w:r>
            <w:r w:rsidRPr="00DD0E5F">
              <w:rPr>
                <w:rFonts w:ascii="Times New Roman" w:hAnsi="Times New Roman" w:cs="Times New Roman"/>
                <w:sz w:val="24"/>
                <w:szCs w:val="24"/>
              </w:rPr>
              <w:t xml:space="preserve">do celów </w:t>
            </w:r>
            <w:r w:rsidRPr="00DD0E5F">
              <w:rPr>
                <w:rFonts w:ascii="Times New Roman" w:hAnsi="Times New Roman" w:cs="Times New Roman"/>
                <w:sz w:val="24"/>
                <w:szCs w:val="24"/>
              </w:rPr>
              <w:lastRenderedPageBreak/>
              <w:t>wysyłania lub otrzymania danych;</w:t>
            </w:r>
          </w:p>
          <w:p w14:paraId="6BE61465" w14:textId="77777777" w:rsidR="00CB4AA3" w:rsidRPr="00DD0E5F" w:rsidRDefault="00CB4AA3"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w:t>
            </w:r>
            <w:r w:rsidRPr="00DD0E5F">
              <w:rPr>
                <w:rFonts w:ascii="Times New Roman" w:hAnsi="Times New Roman" w:cs="Times New Roman"/>
                <w:sz w:val="24"/>
                <w:szCs w:val="24"/>
              </w:rPr>
              <w:tab/>
            </w:r>
            <w:r w:rsidR="00922DCD" w:rsidRPr="00DD0E5F">
              <w:rPr>
                <w:rFonts w:ascii="Times New Roman" w:hAnsi="Times New Roman" w:cs="Times New Roman"/>
                <w:sz w:val="24"/>
                <w:szCs w:val="24"/>
              </w:rPr>
              <w:t xml:space="preserve">wskazanie </w:t>
            </w:r>
            <w:r w:rsidRPr="00DD0E5F">
              <w:rPr>
                <w:rFonts w:ascii="Times New Roman" w:hAnsi="Times New Roman" w:cs="Times New Roman"/>
                <w:sz w:val="24"/>
                <w:szCs w:val="24"/>
              </w:rPr>
              <w:t>za pomocą kwalifikowanego elektronicznego znacznika czasu - datę i czas wysłania, otrzymania i wszelkiej zmiany danych.</w:t>
            </w:r>
          </w:p>
          <w:p w14:paraId="74A957D5" w14:textId="77777777" w:rsidR="000929D0" w:rsidRPr="00DD0E5F" w:rsidRDefault="00F76A4C"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Realizacja </w:t>
            </w:r>
            <w:r w:rsidR="00210056" w:rsidRPr="00DD0E5F">
              <w:rPr>
                <w:rFonts w:ascii="Times New Roman" w:hAnsi="Times New Roman" w:cs="Times New Roman"/>
                <w:sz w:val="24"/>
                <w:szCs w:val="24"/>
              </w:rPr>
              <w:t xml:space="preserve">przez </w:t>
            </w:r>
            <w:r w:rsidR="005E5A43" w:rsidRPr="00DD0E5F">
              <w:rPr>
                <w:rFonts w:ascii="Times New Roman" w:hAnsi="Times New Roman" w:cs="Times New Roman"/>
                <w:sz w:val="24"/>
                <w:szCs w:val="24"/>
              </w:rPr>
              <w:t xml:space="preserve">operatora wyznaczonego publicznej </w:t>
            </w:r>
            <w:r w:rsidRPr="00DD0E5F">
              <w:rPr>
                <w:rFonts w:ascii="Times New Roman" w:hAnsi="Times New Roman" w:cs="Times New Roman"/>
                <w:sz w:val="24"/>
                <w:szCs w:val="24"/>
              </w:rPr>
              <w:t xml:space="preserve">usługi </w:t>
            </w:r>
            <w:r w:rsidR="00210056" w:rsidRPr="00DD0E5F">
              <w:rPr>
                <w:rFonts w:ascii="Times New Roman" w:hAnsi="Times New Roman" w:cs="Times New Roman"/>
                <w:sz w:val="24"/>
                <w:szCs w:val="24"/>
              </w:rPr>
              <w:t xml:space="preserve">hybrydowej </w:t>
            </w:r>
            <w:r w:rsidRPr="00DD0E5F">
              <w:rPr>
                <w:rFonts w:ascii="Times New Roman" w:hAnsi="Times New Roman" w:cs="Times New Roman"/>
                <w:sz w:val="24"/>
                <w:szCs w:val="24"/>
              </w:rPr>
              <w:t xml:space="preserve">wymagać będzie organizacji </w:t>
            </w:r>
            <w:r w:rsidR="000929D0" w:rsidRPr="00DD0E5F">
              <w:rPr>
                <w:rFonts w:ascii="Times New Roman" w:hAnsi="Times New Roman" w:cs="Times New Roman"/>
                <w:sz w:val="24"/>
                <w:szCs w:val="24"/>
              </w:rPr>
              <w:t xml:space="preserve">centrum </w:t>
            </w:r>
            <w:r w:rsidR="00AA4CFF" w:rsidRPr="00DD0E5F">
              <w:rPr>
                <w:rFonts w:ascii="Times New Roman" w:hAnsi="Times New Roman" w:cs="Times New Roman"/>
                <w:sz w:val="24"/>
                <w:szCs w:val="24"/>
              </w:rPr>
              <w:t xml:space="preserve">(centrów) </w:t>
            </w:r>
            <w:r w:rsidR="000929D0" w:rsidRPr="00DD0E5F">
              <w:rPr>
                <w:rFonts w:ascii="Times New Roman" w:hAnsi="Times New Roman" w:cs="Times New Roman"/>
                <w:sz w:val="24"/>
                <w:szCs w:val="24"/>
              </w:rPr>
              <w:t xml:space="preserve">skanowania </w:t>
            </w:r>
            <w:r w:rsidR="00762FA8" w:rsidRPr="00DD0E5F">
              <w:rPr>
                <w:rFonts w:ascii="Times New Roman" w:hAnsi="Times New Roman" w:cs="Times New Roman"/>
                <w:sz w:val="24"/>
                <w:szCs w:val="24"/>
              </w:rPr>
              <w:t xml:space="preserve">i </w:t>
            </w:r>
            <w:r w:rsidR="000929D0" w:rsidRPr="00DD0E5F">
              <w:rPr>
                <w:rFonts w:ascii="Times New Roman" w:hAnsi="Times New Roman" w:cs="Times New Roman"/>
                <w:sz w:val="24"/>
                <w:szCs w:val="24"/>
              </w:rPr>
              <w:t>w</w:t>
            </w:r>
            <w:r w:rsidR="00762FA8" w:rsidRPr="00DD0E5F">
              <w:rPr>
                <w:rFonts w:ascii="Times New Roman" w:hAnsi="Times New Roman" w:cs="Times New Roman"/>
                <w:sz w:val="24"/>
                <w:szCs w:val="24"/>
              </w:rPr>
              <w:t>ydruku</w:t>
            </w:r>
            <w:r w:rsidR="00885003" w:rsidRPr="00DD0E5F">
              <w:rPr>
                <w:rFonts w:ascii="Times New Roman" w:hAnsi="Times New Roman" w:cs="Times New Roman"/>
                <w:sz w:val="24"/>
                <w:szCs w:val="24"/>
              </w:rPr>
              <w:t>,</w:t>
            </w:r>
            <w:r w:rsidR="00762FA8" w:rsidRPr="00DD0E5F">
              <w:rPr>
                <w:rFonts w:ascii="Times New Roman" w:hAnsi="Times New Roman" w:cs="Times New Roman"/>
                <w:sz w:val="24"/>
                <w:szCs w:val="24"/>
              </w:rPr>
              <w:t xml:space="preserve"> zapewniających odpowiednie bezpieczeństwo</w:t>
            </w:r>
            <w:r w:rsidR="00AC1DCD" w:rsidRPr="00DD0E5F">
              <w:rPr>
                <w:rFonts w:ascii="Times New Roman" w:hAnsi="Times New Roman" w:cs="Times New Roman"/>
                <w:sz w:val="24"/>
                <w:szCs w:val="24"/>
              </w:rPr>
              <w:t>,</w:t>
            </w:r>
            <w:r w:rsidR="00762FA8" w:rsidRPr="00DD0E5F">
              <w:rPr>
                <w:rFonts w:ascii="Times New Roman" w:hAnsi="Times New Roman" w:cs="Times New Roman"/>
                <w:sz w:val="24"/>
                <w:szCs w:val="24"/>
              </w:rPr>
              <w:t xml:space="preserve"> jakość i</w:t>
            </w:r>
            <w:r w:rsidR="00AC1DCD" w:rsidRPr="00DD0E5F">
              <w:rPr>
                <w:rFonts w:ascii="Times New Roman" w:hAnsi="Times New Roman" w:cs="Times New Roman"/>
                <w:sz w:val="24"/>
                <w:szCs w:val="24"/>
              </w:rPr>
              <w:t> </w:t>
            </w:r>
            <w:r w:rsidR="00762FA8" w:rsidRPr="00DD0E5F">
              <w:rPr>
                <w:rFonts w:ascii="Times New Roman" w:hAnsi="Times New Roman" w:cs="Times New Roman"/>
                <w:sz w:val="24"/>
                <w:szCs w:val="24"/>
              </w:rPr>
              <w:t xml:space="preserve">wydajność usług w </w:t>
            </w:r>
            <w:r w:rsidR="00F92691" w:rsidRPr="00DD0E5F">
              <w:rPr>
                <w:rFonts w:ascii="Times New Roman" w:hAnsi="Times New Roman" w:cs="Times New Roman"/>
                <w:sz w:val="24"/>
                <w:szCs w:val="24"/>
              </w:rPr>
              <w:t> </w:t>
            </w:r>
            <w:r w:rsidR="00762FA8" w:rsidRPr="00DD0E5F">
              <w:rPr>
                <w:rFonts w:ascii="Times New Roman" w:hAnsi="Times New Roman" w:cs="Times New Roman"/>
                <w:sz w:val="24"/>
                <w:szCs w:val="24"/>
              </w:rPr>
              <w:t>całym kraju</w:t>
            </w:r>
            <w:r w:rsidR="00885003" w:rsidRPr="00DD0E5F">
              <w:rPr>
                <w:rFonts w:ascii="Times New Roman" w:hAnsi="Times New Roman" w:cs="Times New Roman"/>
                <w:sz w:val="24"/>
                <w:szCs w:val="24"/>
              </w:rPr>
              <w:t xml:space="preserve">, a także </w:t>
            </w:r>
            <w:r w:rsidR="004E559C" w:rsidRPr="00DD0E5F">
              <w:rPr>
                <w:rFonts w:ascii="Times New Roman" w:hAnsi="Times New Roman" w:cs="Times New Roman"/>
                <w:sz w:val="24"/>
                <w:szCs w:val="24"/>
              </w:rPr>
              <w:t>spełnie</w:t>
            </w:r>
            <w:r w:rsidR="00EA0361" w:rsidRPr="00DD0E5F">
              <w:rPr>
                <w:rFonts w:ascii="Times New Roman" w:hAnsi="Times New Roman" w:cs="Times New Roman"/>
                <w:sz w:val="24"/>
                <w:szCs w:val="24"/>
              </w:rPr>
              <w:t>ni</w:t>
            </w:r>
            <w:r w:rsidR="004E559C" w:rsidRPr="00DD0E5F">
              <w:rPr>
                <w:rFonts w:ascii="Times New Roman" w:hAnsi="Times New Roman" w:cs="Times New Roman"/>
                <w:sz w:val="24"/>
                <w:szCs w:val="24"/>
              </w:rPr>
              <w:t>e</w:t>
            </w:r>
            <w:r w:rsidR="00EA0361" w:rsidRPr="00DD0E5F">
              <w:rPr>
                <w:rFonts w:ascii="Times New Roman" w:hAnsi="Times New Roman" w:cs="Times New Roman"/>
                <w:sz w:val="24"/>
                <w:szCs w:val="24"/>
              </w:rPr>
              <w:t xml:space="preserve"> </w:t>
            </w:r>
            <w:r w:rsidR="004E559C" w:rsidRPr="00DD0E5F">
              <w:rPr>
                <w:rFonts w:ascii="Times New Roman" w:hAnsi="Times New Roman" w:cs="Times New Roman"/>
                <w:sz w:val="24"/>
                <w:szCs w:val="24"/>
              </w:rPr>
              <w:t>odpowiednich warunków technicznych i organizacyjnych poprzez postawienie do dyspozycji adekwatnych zasobów,</w:t>
            </w:r>
            <w:r w:rsidR="000929D0" w:rsidRPr="00DD0E5F">
              <w:rPr>
                <w:rFonts w:ascii="Times New Roman" w:hAnsi="Times New Roman" w:cs="Times New Roman"/>
                <w:sz w:val="24"/>
                <w:szCs w:val="24"/>
              </w:rPr>
              <w:t xml:space="preserve"> których użycie </w:t>
            </w:r>
            <w:r w:rsidR="00885003" w:rsidRPr="00DD0E5F">
              <w:rPr>
                <w:rFonts w:ascii="Times New Roman" w:hAnsi="Times New Roman" w:cs="Times New Roman"/>
                <w:sz w:val="24"/>
                <w:szCs w:val="24"/>
              </w:rPr>
              <w:t xml:space="preserve">umożliwi nadawanie i doręczenie przesyłek pocztowych zawierających korespondencję w postaci papierowej na terenie całego kraju. </w:t>
            </w:r>
          </w:p>
          <w:p w14:paraId="1F9B6B03" w14:textId="77777777" w:rsidR="003544B3" w:rsidRPr="00DD0E5F" w:rsidRDefault="00EA0361"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Zgodnie z wymaganiami określonymi w ustawie </w:t>
            </w:r>
            <w:r w:rsidRPr="00DD0E5F">
              <w:rPr>
                <w:rFonts w:ascii="Times New Roman" w:hAnsi="Times New Roman" w:cs="Times New Roman"/>
                <w:iCs/>
                <w:sz w:val="24"/>
                <w:szCs w:val="24"/>
              </w:rPr>
              <w:t xml:space="preserve">z dnia 23 listopada 2012 r. </w:t>
            </w:r>
            <w:r w:rsidRPr="00DD0E5F">
              <w:rPr>
                <w:rFonts w:ascii="Times New Roman" w:hAnsi="Times New Roman" w:cs="Times New Roman"/>
                <w:sz w:val="24"/>
                <w:szCs w:val="24"/>
              </w:rPr>
              <w:t>– Prawo pocztowe o</w:t>
            </w:r>
            <w:r w:rsidR="005E5A43" w:rsidRPr="00DD0E5F">
              <w:rPr>
                <w:rFonts w:ascii="Times New Roman" w:hAnsi="Times New Roman" w:cs="Times New Roman"/>
                <w:sz w:val="24"/>
                <w:szCs w:val="24"/>
              </w:rPr>
              <w:t>perator wyznaczony m</w:t>
            </w:r>
            <w:r w:rsidR="00885003" w:rsidRPr="00DD0E5F">
              <w:rPr>
                <w:rFonts w:ascii="Times New Roman" w:hAnsi="Times New Roman" w:cs="Times New Roman"/>
                <w:sz w:val="24"/>
                <w:szCs w:val="24"/>
              </w:rPr>
              <w:t>usi zapewniać świadczenie usług pocztowych o</w:t>
            </w:r>
            <w:r w:rsidR="00AC1DCD" w:rsidRPr="00DD0E5F">
              <w:rPr>
                <w:rFonts w:ascii="Times New Roman" w:hAnsi="Times New Roman" w:cs="Times New Roman"/>
                <w:sz w:val="24"/>
                <w:szCs w:val="24"/>
              </w:rPr>
              <w:t> </w:t>
            </w:r>
            <w:r w:rsidR="00885003" w:rsidRPr="00DD0E5F">
              <w:rPr>
                <w:rFonts w:ascii="Times New Roman" w:hAnsi="Times New Roman" w:cs="Times New Roman"/>
                <w:sz w:val="24"/>
                <w:szCs w:val="24"/>
              </w:rPr>
              <w:t xml:space="preserve">określonej jakości we wszystkich punktach na obszarze kraju </w:t>
            </w:r>
            <w:r w:rsidR="00F92691" w:rsidRPr="00DD0E5F">
              <w:rPr>
                <w:rFonts w:ascii="Times New Roman" w:hAnsi="Times New Roman" w:cs="Times New Roman"/>
                <w:sz w:val="24"/>
                <w:szCs w:val="24"/>
              </w:rPr>
              <w:t>–</w:t>
            </w:r>
            <w:r w:rsidR="00885003" w:rsidRPr="00DD0E5F">
              <w:rPr>
                <w:rFonts w:ascii="Times New Roman" w:hAnsi="Times New Roman" w:cs="Times New Roman"/>
                <w:sz w:val="24"/>
                <w:szCs w:val="24"/>
              </w:rPr>
              <w:t xml:space="preserve"> posiadać status operatora pocztowego prowadzącego działalność pocztową na podstawie wpisu do rejestru oraz dysponować siecią placówek pocztowych i centrów rozdzielczych, środkami transportu i odpowiednią organizacją przedsiębiorstwa. </w:t>
            </w:r>
          </w:p>
          <w:p w14:paraId="28650378" w14:textId="77777777" w:rsidR="00DB2EEA" w:rsidRPr="00DD0E5F" w:rsidRDefault="0081416C" w:rsidP="00052A6C">
            <w:pPr>
              <w:ind w:left="62" w:right="159"/>
              <w:jc w:val="both"/>
              <w:rPr>
                <w:rFonts w:ascii="Times New Roman" w:hAnsi="Times New Roman" w:cs="Times New Roman"/>
                <w:iCs/>
                <w:sz w:val="24"/>
                <w:szCs w:val="24"/>
              </w:rPr>
            </w:pPr>
            <w:r w:rsidRPr="00DD0E5F">
              <w:rPr>
                <w:rFonts w:ascii="Times New Roman" w:hAnsi="Times New Roman" w:cs="Times New Roman"/>
                <w:iCs/>
                <w:sz w:val="24"/>
                <w:szCs w:val="24"/>
              </w:rPr>
              <w:t>Biorąc pod uwagę powyższe wymagania związane ze sposobem i standardem realizacji projektowanych usług, zmienione zostaną warunki konkursu na operatora wyznaczonego, prowadzone obecnie zgodnie z art. 71 ustawy z dnia 23 listopada 2012 r. – Prawo pocztowe. Obecnie przedmiotem oceny w ramach w/w konkursu jest także potencjał instytucjonalny i kadrowy operatora. Zgodnie z projektem weryfikacji podlegała będzie również zdolność do efektywnej realizacji publicznej usługi rejestrowanego doręczenia elektronicznego oraz publicznej usługi hybrydowej, a w tym:</w:t>
            </w:r>
          </w:p>
          <w:p w14:paraId="4642E0F8" w14:textId="77777777" w:rsidR="00DB2EEA" w:rsidRPr="00DD0E5F" w:rsidRDefault="00AA4CFF" w:rsidP="00052A6C">
            <w:pPr>
              <w:pStyle w:val="Akapitzlist"/>
              <w:numPr>
                <w:ilvl w:val="0"/>
                <w:numId w:val="42"/>
              </w:numPr>
              <w:ind w:left="62"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 xml:space="preserve">dostosowanie do </w:t>
            </w:r>
            <w:r w:rsidR="00DB2EEA" w:rsidRPr="00DD0E5F">
              <w:rPr>
                <w:rFonts w:ascii="Times New Roman" w:hAnsi="Times New Roman" w:cs="Times New Roman"/>
                <w:iCs/>
                <w:sz w:val="24"/>
                <w:szCs w:val="24"/>
              </w:rPr>
              <w:t>standardu</w:t>
            </w:r>
            <w:r w:rsidRPr="00DD0E5F">
              <w:rPr>
                <w:rFonts w:ascii="Times New Roman" w:hAnsi="Times New Roman" w:cs="Times New Roman"/>
                <w:iCs/>
                <w:sz w:val="24"/>
                <w:szCs w:val="24"/>
              </w:rPr>
              <w:t xml:space="preserve"> określającego wymagania techniczne i organizacyjne </w:t>
            </w:r>
            <w:r w:rsidR="00631843" w:rsidRPr="00DD0E5F">
              <w:rPr>
                <w:rFonts w:ascii="Times New Roman" w:hAnsi="Times New Roman" w:cs="Times New Roman"/>
                <w:iCs/>
                <w:sz w:val="24"/>
                <w:szCs w:val="24"/>
              </w:rPr>
              <w:t>dla usług rejestrowanego doręczenia elektronicznego</w:t>
            </w:r>
            <w:r w:rsidR="00DB2EEA" w:rsidRPr="00DD0E5F">
              <w:rPr>
                <w:rFonts w:ascii="Times New Roman" w:hAnsi="Times New Roman" w:cs="Times New Roman"/>
                <w:iCs/>
                <w:sz w:val="24"/>
                <w:szCs w:val="24"/>
              </w:rPr>
              <w:t>,</w:t>
            </w:r>
          </w:p>
          <w:p w14:paraId="0EBD63C9" w14:textId="77777777" w:rsidR="00034971" w:rsidRPr="00DD0E5F" w:rsidRDefault="00DB2EEA" w:rsidP="00052A6C">
            <w:pPr>
              <w:pStyle w:val="Akapitzlist"/>
              <w:numPr>
                <w:ilvl w:val="0"/>
                <w:numId w:val="42"/>
              </w:numPr>
              <w:spacing w:after="120"/>
              <w:ind w:left="63" w:firstLine="0"/>
              <w:contextualSpacing w:val="0"/>
              <w:jc w:val="both"/>
              <w:rPr>
                <w:rFonts w:ascii="Times New Roman" w:hAnsi="Times New Roman" w:cs="Times New Roman"/>
                <w:iCs/>
                <w:sz w:val="24"/>
                <w:szCs w:val="24"/>
              </w:rPr>
            </w:pPr>
            <w:r w:rsidRPr="00DD0E5F">
              <w:rPr>
                <w:rFonts w:ascii="Times New Roman" w:hAnsi="Times New Roman" w:cs="Times New Roman"/>
                <w:iCs/>
                <w:sz w:val="24"/>
                <w:szCs w:val="24"/>
              </w:rPr>
              <w:t>spełnienie warunków technicznych i organizacyjnych niezbędnych do świadczenia publicznej usługi hybrydowej</w:t>
            </w:r>
            <w:r w:rsidR="00F92691" w:rsidRPr="00DD0E5F">
              <w:rPr>
                <w:rFonts w:ascii="Times New Roman" w:hAnsi="Times New Roman" w:cs="Times New Roman"/>
                <w:iCs/>
                <w:sz w:val="24"/>
                <w:szCs w:val="24"/>
              </w:rPr>
              <w:t>.</w:t>
            </w:r>
          </w:p>
          <w:p w14:paraId="12A9D9C2" w14:textId="77777777" w:rsidR="00135AB9" w:rsidRPr="00DD0E5F" w:rsidRDefault="007A216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 xml:space="preserve">Zorganizowanie konkursu na operatora wyznaczonego </w:t>
            </w:r>
            <w:r w:rsidR="00553B4E" w:rsidRPr="00DD0E5F">
              <w:rPr>
                <w:rFonts w:ascii="Times New Roman" w:hAnsi="Times New Roman" w:cs="Times New Roman"/>
                <w:sz w:val="24"/>
                <w:szCs w:val="24"/>
              </w:rPr>
              <w:t xml:space="preserve">nastąpi po 31 grudnia </w:t>
            </w:r>
            <w:r w:rsidR="00135AB9" w:rsidRPr="00DD0E5F">
              <w:rPr>
                <w:rFonts w:ascii="Times New Roman" w:hAnsi="Times New Roman" w:cs="Times New Roman"/>
                <w:sz w:val="24"/>
                <w:szCs w:val="24"/>
              </w:rPr>
              <w:t xml:space="preserve">2025 r </w:t>
            </w:r>
            <w:r w:rsidR="00553B4E" w:rsidRPr="00DD0E5F">
              <w:rPr>
                <w:rFonts w:ascii="Times New Roman" w:hAnsi="Times New Roman" w:cs="Times New Roman"/>
                <w:sz w:val="24"/>
                <w:szCs w:val="24"/>
              </w:rPr>
              <w:t xml:space="preserve">z zachowaniem zasad równego traktowania, uczciwej konkurencji i przejrzystości procesu </w:t>
            </w:r>
            <w:r w:rsidRPr="00DD0E5F">
              <w:rPr>
                <w:rFonts w:ascii="Times New Roman" w:hAnsi="Times New Roman" w:cs="Times New Roman"/>
                <w:sz w:val="24"/>
                <w:szCs w:val="24"/>
              </w:rPr>
              <w:t xml:space="preserve">wyboru </w:t>
            </w:r>
            <w:r w:rsidR="00553B4E" w:rsidRPr="00DD0E5F">
              <w:rPr>
                <w:rFonts w:ascii="Times New Roman" w:hAnsi="Times New Roman" w:cs="Times New Roman"/>
                <w:sz w:val="24"/>
                <w:szCs w:val="24"/>
              </w:rPr>
              <w:t xml:space="preserve">wykonawcy - co w praktyce oznacza zapewnienie </w:t>
            </w:r>
            <w:r w:rsidR="00135AB9" w:rsidRPr="00DD0E5F">
              <w:rPr>
                <w:rFonts w:ascii="Times New Roman" w:hAnsi="Times New Roman" w:cs="Times New Roman"/>
                <w:sz w:val="24"/>
                <w:szCs w:val="24"/>
              </w:rPr>
              <w:t>równych</w:t>
            </w:r>
            <w:r w:rsidRPr="00DD0E5F">
              <w:rPr>
                <w:rFonts w:ascii="Times New Roman" w:hAnsi="Times New Roman" w:cs="Times New Roman"/>
                <w:sz w:val="24"/>
                <w:szCs w:val="24"/>
              </w:rPr>
              <w:t xml:space="preserve"> szans świadczenia usług każdemu z operatorów.</w:t>
            </w:r>
          </w:p>
          <w:p w14:paraId="1913A2BF" w14:textId="77777777" w:rsidR="007A216B" w:rsidRPr="00DD0E5F" w:rsidRDefault="00EA0361" w:rsidP="00052A6C">
            <w:pPr>
              <w:spacing w:after="120"/>
              <w:ind w:left="63"/>
              <w:jc w:val="both"/>
              <w:rPr>
                <w:rFonts w:ascii="Times New Roman" w:hAnsi="Times New Roman" w:cs="Times New Roman"/>
                <w:iCs/>
                <w:sz w:val="24"/>
                <w:szCs w:val="24"/>
              </w:rPr>
            </w:pPr>
            <w:r w:rsidRPr="00DD0E5F">
              <w:rPr>
                <w:rFonts w:ascii="Times New Roman" w:hAnsi="Times New Roman" w:cs="Times New Roman"/>
                <w:sz w:val="24"/>
                <w:szCs w:val="24"/>
              </w:rPr>
              <w:t>W</w:t>
            </w:r>
            <w:r w:rsidR="00553B4E" w:rsidRPr="00DD0E5F">
              <w:rPr>
                <w:rFonts w:ascii="Times New Roman" w:hAnsi="Times New Roman" w:cs="Times New Roman"/>
                <w:sz w:val="24"/>
                <w:szCs w:val="24"/>
              </w:rPr>
              <w:t>yłonienie po 2025 roku operatora wyznaczonego w drodze konkursu w</w:t>
            </w:r>
            <w:r w:rsidR="007A216B" w:rsidRPr="00DD0E5F">
              <w:rPr>
                <w:rFonts w:ascii="Times New Roman" w:hAnsi="Times New Roman" w:cs="Times New Roman"/>
                <w:sz w:val="24"/>
                <w:szCs w:val="24"/>
              </w:rPr>
              <w:t xml:space="preserve">yeliminuje także potencjalne zarzuty dotyczące niedozwolonej pomocy publicznej dla </w:t>
            </w:r>
            <w:r w:rsidR="00752DD5" w:rsidRPr="00DD0E5F">
              <w:rPr>
                <w:rFonts w:ascii="Times New Roman" w:hAnsi="Times New Roman" w:cs="Times New Roman"/>
                <w:sz w:val="24"/>
                <w:szCs w:val="24"/>
              </w:rPr>
              <w:t>operatora wyznaczonego</w:t>
            </w:r>
            <w:r w:rsidR="007A216B" w:rsidRPr="00DD0E5F">
              <w:rPr>
                <w:rFonts w:ascii="Times New Roman" w:hAnsi="Times New Roman" w:cs="Times New Roman"/>
                <w:sz w:val="24"/>
                <w:szCs w:val="24"/>
              </w:rPr>
              <w:t xml:space="preserve">. Powierzenie wyboru </w:t>
            </w:r>
            <w:r w:rsidR="00752DD5" w:rsidRPr="00DD0E5F">
              <w:rPr>
                <w:rFonts w:ascii="Times New Roman" w:hAnsi="Times New Roman" w:cs="Times New Roman"/>
                <w:sz w:val="24"/>
                <w:szCs w:val="24"/>
              </w:rPr>
              <w:t>operatora wyznaczonego</w:t>
            </w:r>
            <w:r w:rsidR="007A216B" w:rsidRPr="00DD0E5F">
              <w:rPr>
                <w:rFonts w:ascii="Times New Roman" w:hAnsi="Times New Roman" w:cs="Times New Roman"/>
                <w:sz w:val="24"/>
                <w:szCs w:val="24"/>
              </w:rPr>
              <w:t xml:space="preserve"> Urzędowi Komunikacji Elektroniczne</w:t>
            </w:r>
            <w:r w:rsidR="00752DD5" w:rsidRPr="00DD0E5F">
              <w:rPr>
                <w:rFonts w:ascii="Times New Roman" w:hAnsi="Times New Roman" w:cs="Times New Roman"/>
                <w:sz w:val="24"/>
                <w:szCs w:val="24"/>
              </w:rPr>
              <w:t>j, jako doświadczonej jednostce</w:t>
            </w:r>
            <w:r w:rsidR="00F92691" w:rsidRPr="00DD0E5F">
              <w:rPr>
                <w:rFonts w:ascii="Times New Roman" w:hAnsi="Times New Roman" w:cs="Times New Roman"/>
                <w:sz w:val="24"/>
                <w:szCs w:val="24"/>
              </w:rPr>
              <w:t>,</w:t>
            </w:r>
            <w:r w:rsidR="00752DD5" w:rsidRPr="00DD0E5F">
              <w:rPr>
                <w:rFonts w:ascii="Times New Roman" w:hAnsi="Times New Roman" w:cs="Times New Roman"/>
                <w:sz w:val="24"/>
                <w:szCs w:val="24"/>
              </w:rPr>
              <w:t xml:space="preserve"> </w:t>
            </w:r>
            <w:r w:rsidR="007A216B" w:rsidRPr="00DD0E5F">
              <w:rPr>
                <w:rFonts w:ascii="Times New Roman" w:hAnsi="Times New Roman" w:cs="Times New Roman"/>
                <w:sz w:val="24"/>
                <w:szCs w:val="24"/>
              </w:rPr>
              <w:t>pozwoli przeprowadzić konkurs w sposób zapewniający najwyższe standardy oraz da gwarancję świadczenia usługi e-Doręczenia w sposób niezawodny na terenie całego kraju</w:t>
            </w:r>
            <w:r w:rsidR="00752DD5" w:rsidRPr="00DD0E5F">
              <w:rPr>
                <w:rFonts w:ascii="Times New Roman" w:hAnsi="Times New Roman" w:cs="Times New Roman"/>
                <w:sz w:val="24"/>
                <w:szCs w:val="24"/>
              </w:rPr>
              <w:t>.</w:t>
            </w:r>
          </w:p>
          <w:p w14:paraId="2C465F15" w14:textId="77777777" w:rsidR="00706CDF" w:rsidRPr="00DD0E5F" w:rsidRDefault="007276D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iCs/>
                <w:sz w:val="24"/>
                <w:szCs w:val="24"/>
              </w:rPr>
              <w:t>Do czasu przeprowadzenia konkursu na operatora wyznaczonego, tj. do 2025 r.</w:t>
            </w:r>
            <w:r w:rsidR="007237D8" w:rsidRPr="00DD0E5F">
              <w:rPr>
                <w:rFonts w:ascii="Times New Roman" w:hAnsi="Times New Roman" w:cs="Times New Roman"/>
                <w:iCs/>
                <w:sz w:val="24"/>
                <w:szCs w:val="24"/>
              </w:rPr>
              <w:t xml:space="preserve"> (na okres przejściowy)</w:t>
            </w:r>
            <w:r w:rsidR="00AC1DCD" w:rsidRPr="00DD0E5F">
              <w:rPr>
                <w:rFonts w:ascii="Times New Roman" w:hAnsi="Times New Roman" w:cs="Times New Roman"/>
                <w:iCs/>
                <w:sz w:val="24"/>
                <w:szCs w:val="24"/>
              </w:rPr>
              <w:t>,</w:t>
            </w:r>
            <w:r w:rsidRPr="00DD0E5F">
              <w:rPr>
                <w:rFonts w:ascii="Times New Roman" w:hAnsi="Times New Roman" w:cs="Times New Roman"/>
                <w:iCs/>
                <w:sz w:val="24"/>
                <w:szCs w:val="24"/>
              </w:rPr>
              <w:t xml:space="preserve"> świadczenie usług powierzone zostanie operatorowi wyznaczonemu do świadczenia usług powszechnych na lata 2016-2025, tj. Poczcie Polskiej S.A.,</w:t>
            </w:r>
            <w:r w:rsidRPr="00DD0E5F">
              <w:rPr>
                <w:rFonts w:ascii="Times New Roman" w:hAnsi="Times New Roman" w:cs="Times New Roman"/>
                <w:sz w:val="24"/>
                <w:szCs w:val="24"/>
              </w:rPr>
              <w:t xml:space="preserve"> co jednocześnie zapewni realizację projektu strategicznego wskazanego w SOR</w:t>
            </w:r>
            <w:r w:rsidRPr="00DD0E5F">
              <w:rPr>
                <w:rStyle w:val="Odwoanieprzypisudolnego"/>
                <w:rFonts w:ascii="Times New Roman" w:hAnsi="Times New Roman" w:cs="Times New Roman"/>
                <w:sz w:val="24"/>
                <w:szCs w:val="24"/>
              </w:rPr>
              <w:footnoteReference w:id="11"/>
            </w:r>
            <w:r w:rsidRPr="00DD0E5F">
              <w:rPr>
                <w:rFonts w:ascii="Times New Roman" w:hAnsi="Times New Roman" w:cs="Times New Roman"/>
                <w:sz w:val="24"/>
                <w:szCs w:val="24"/>
              </w:rPr>
              <w:t xml:space="preserve">, tj. wypracowanie rozwiązania rejestrowanego doręczenia elektronicznego, z zachowaniem odpowiednich regulacji w ww. zakresie, we współpracy z operatorem wyznaczonym. </w:t>
            </w:r>
            <w:r w:rsidR="008F7C74" w:rsidRPr="00DD0E5F">
              <w:rPr>
                <w:rFonts w:ascii="Times New Roman" w:hAnsi="Times New Roman" w:cs="Times New Roman"/>
                <w:sz w:val="24"/>
                <w:szCs w:val="24"/>
              </w:rPr>
              <w:t xml:space="preserve">Wyniki konkursu przeprowadzonego przez Urząd Komunikacji Elektronicznej, zakończonego dniu 30 czerwca 2015 r. decyzją o wyborze Poczty Polskiej S.A. jako operatora wyznaczonego do świadczenia usług powszechnych na lata 2016-2025, potwierdzają, że potencjał instytucjonalny i kadrowy Poczty Polskiej S.A. pozwala na efektywne sprawowanie funkcji operatora wyznaczonego do świadczenia usługi powszechnej. Potencjał ten jest wystarczający do zapewnienia realizacji </w:t>
            </w:r>
            <w:r w:rsidR="00285EE9" w:rsidRPr="00DD0E5F">
              <w:rPr>
                <w:rFonts w:ascii="Times New Roman" w:hAnsi="Times New Roman" w:cs="Times New Roman"/>
                <w:sz w:val="24"/>
                <w:szCs w:val="24"/>
              </w:rPr>
              <w:t xml:space="preserve">publicznej </w:t>
            </w:r>
            <w:r w:rsidR="008F7C74" w:rsidRPr="00DD0E5F">
              <w:rPr>
                <w:rFonts w:ascii="Times New Roman" w:hAnsi="Times New Roman" w:cs="Times New Roman"/>
                <w:sz w:val="24"/>
                <w:szCs w:val="24"/>
              </w:rPr>
              <w:t>usługi hybrydowej. Ponadto Poczta Polska S.A. posiada kilkuletnie doświadczenie w realizacji usługi Neolistu (</w:t>
            </w:r>
            <w:r w:rsidR="00631843" w:rsidRPr="00DD0E5F">
              <w:rPr>
                <w:rFonts w:ascii="Times New Roman" w:hAnsi="Times New Roman" w:cs="Times New Roman"/>
                <w:sz w:val="24"/>
                <w:szCs w:val="24"/>
              </w:rPr>
              <w:t xml:space="preserve">przesyłanie </w:t>
            </w:r>
            <w:r w:rsidR="008F7C74" w:rsidRPr="00DD0E5F">
              <w:rPr>
                <w:rFonts w:ascii="Times New Roman" w:hAnsi="Times New Roman" w:cs="Times New Roman"/>
                <w:sz w:val="24"/>
                <w:szCs w:val="24"/>
              </w:rPr>
              <w:t xml:space="preserve">elektroniczne, </w:t>
            </w:r>
            <w:r w:rsidR="00631843" w:rsidRPr="00DD0E5F">
              <w:rPr>
                <w:rFonts w:ascii="Times New Roman" w:hAnsi="Times New Roman" w:cs="Times New Roman"/>
                <w:sz w:val="24"/>
                <w:szCs w:val="24"/>
              </w:rPr>
              <w:t xml:space="preserve">oraz </w:t>
            </w:r>
            <w:r w:rsidR="008F7C74" w:rsidRPr="00DD0E5F">
              <w:rPr>
                <w:rFonts w:ascii="Times New Roman" w:hAnsi="Times New Roman" w:cs="Times New Roman"/>
                <w:sz w:val="24"/>
                <w:szCs w:val="24"/>
              </w:rPr>
              <w:t>drukowan</w:t>
            </w:r>
            <w:r w:rsidR="00631843" w:rsidRPr="00DD0E5F">
              <w:rPr>
                <w:rFonts w:ascii="Times New Roman" w:hAnsi="Times New Roman" w:cs="Times New Roman"/>
                <w:sz w:val="24"/>
                <w:szCs w:val="24"/>
              </w:rPr>
              <w:t>ie</w:t>
            </w:r>
            <w:r w:rsidR="008F7C74" w:rsidRPr="00DD0E5F">
              <w:rPr>
                <w:rFonts w:ascii="Times New Roman" w:hAnsi="Times New Roman" w:cs="Times New Roman"/>
                <w:sz w:val="24"/>
                <w:szCs w:val="24"/>
              </w:rPr>
              <w:t xml:space="preserve"> i skanowan</w:t>
            </w:r>
            <w:r w:rsidR="00631843" w:rsidRPr="00DD0E5F">
              <w:rPr>
                <w:rFonts w:ascii="Times New Roman" w:hAnsi="Times New Roman" w:cs="Times New Roman"/>
                <w:sz w:val="24"/>
                <w:szCs w:val="24"/>
              </w:rPr>
              <w:t>ie przesyłek listowych w zależności od potrzeb klientów</w:t>
            </w:r>
            <w:r w:rsidR="008F7C74" w:rsidRPr="00DD0E5F">
              <w:rPr>
                <w:rFonts w:ascii="Times New Roman" w:hAnsi="Times New Roman" w:cs="Times New Roman"/>
                <w:sz w:val="24"/>
                <w:szCs w:val="24"/>
              </w:rPr>
              <w:t>), wykorzystując w tym celu Platformę Envelo, która może zostać dostosowana do technicznego standardu usługi rejestrowanego doręczenia elektronicznego</w:t>
            </w:r>
            <w:r w:rsidR="00925576" w:rsidRPr="00DD0E5F">
              <w:rPr>
                <w:rFonts w:ascii="Times New Roman" w:hAnsi="Times New Roman" w:cs="Times New Roman"/>
                <w:sz w:val="24"/>
                <w:szCs w:val="24"/>
              </w:rPr>
              <w:t>,</w:t>
            </w:r>
            <w:r w:rsidR="00E441B4" w:rsidRPr="00DD0E5F">
              <w:rPr>
                <w:rFonts w:ascii="Times New Roman" w:hAnsi="Times New Roman" w:cs="Times New Roman"/>
                <w:sz w:val="24"/>
                <w:szCs w:val="24"/>
              </w:rPr>
              <w:t xml:space="preserve"> a o</w:t>
            </w:r>
            <w:r w:rsidR="00706CDF" w:rsidRPr="00DD0E5F">
              <w:rPr>
                <w:rFonts w:ascii="Times New Roman" w:hAnsi="Times New Roman" w:cs="Times New Roman"/>
                <w:sz w:val="24"/>
                <w:szCs w:val="24"/>
              </w:rPr>
              <w:t>d 2013 r. świadczy też usługę przesyłki hybrydowej w obrocie krajowym.</w:t>
            </w:r>
          </w:p>
          <w:p w14:paraId="5CBE64DB" w14:textId="77777777" w:rsidR="008C7038" w:rsidRPr="00DD0E5F" w:rsidRDefault="00706CD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Poczta Polska posiada doświadczenie w realizacji dużych projektów, obejmujących </w:t>
            </w:r>
            <w:r w:rsidR="00631843" w:rsidRPr="00DD0E5F">
              <w:rPr>
                <w:rFonts w:ascii="Times New Roman" w:hAnsi="Times New Roman" w:cs="Times New Roman"/>
                <w:sz w:val="24"/>
                <w:szCs w:val="24"/>
              </w:rPr>
              <w:t xml:space="preserve">obszar </w:t>
            </w:r>
            <w:r w:rsidRPr="00DD0E5F">
              <w:rPr>
                <w:rFonts w:ascii="Times New Roman" w:hAnsi="Times New Roman" w:cs="Times New Roman"/>
                <w:sz w:val="24"/>
                <w:szCs w:val="24"/>
              </w:rPr>
              <w:t>cał</w:t>
            </w:r>
            <w:r w:rsidR="00631843" w:rsidRPr="00DD0E5F">
              <w:rPr>
                <w:rFonts w:ascii="Times New Roman" w:hAnsi="Times New Roman" w:cs="Times New Roman"/>
                <w:sz w:val="24"/>
                <w:szCs w:val="24"/>
              </w:rPr>
              <w:t xml:space="preserve">ego </w:t>
            </w:r>
            <w:r w:rsidRPr="00DD0E5F">
              <w:rPr>
                <w:rFonts w:ascii="Times New Roman" w:hAnsi="Times New Roman" w:cs="Times New Roman"/>
                <w:sz w:val="24"/>
                <w:szCs w:val="24"/>
              </w:rPr>
              <w:t xml:space="preserve">kraju. Zapewnia obsługę kontraktu dla polskich sądów z wykorzystaniem aplikacji Mobilny Listonosz. W </w:t>
            </w:r>
            <w:r w:rsidRPr="00DD0E5F">
              <w:rPr>
                <w:rFonts w:ascii="Times New Roman" w:hAnsi="Times New Roman" w:cs="Times New Roman"/>
                <w:sz w:val="24"/>
                <w:szCs w:val="24"/>
              </w:rPr>
              <w:lastRenderedPageBreak/>
              <w:t xml:space="preserve">aplikacji realizuje obsługę </w:t>
            </w:r>
            <w:r w:rsidR="00631843" w:rsidRPr="00DD0E5F">
              <w:rPr>
                <w:rFonts w:ascii="Times New Roman" w:hAnsi="Times New Roman" w:cs="Times New Roman"/>
                <w:sz w:val="24"/>
                <w:szCs w:val="24"/>
              </w:rPr>
              <w:t>e</w:t>
            </w:r>
            <w:r w:rsidRPr="00DD0E5F">
              <w:rPr>
                <w:rFonts w:ascii="Times New Roman" w:hAnsi="Times New Roman" w:cs="Times New Roman"/>
                <w:sz w:val="24"/>
                <w:szCs w:val="24"/>
              </w:rPr>
              <w:t xml:space="preserve">lektronicznego </w:t>
            </w:r>
            <w:r w:rsidR="00631843" w:rsidRPr="00DD0E5F">
              <w:rPr>
                <w:rFonts w:ascii="Times New Roman" w:hAnsi="Times New Roman" w:cs="Times New Roman"/>
                <w:sz w:val="24"/>
                <w:szCs w:val="24"/>
              </w:rPr>
              <w:t>p</w:t>
            </w:r>
            <w:r w:rsidRPr="00DD0E5F">
              <w:rPr>
                <w:rFonts w:ascii="Times New Roman" w:hAnsi="Times New Roman" w:cs="Times New Roman"/>
                <w:sz w:val="24"/>
                <w:szCs w:val="24"/>
              </w:rPr>
              <w:t xml:space="preserve">otwierdzenia </w:t>
            </w:r>
            <w:r w:rsidR="00631843" w:rsidRPr="00DD0E5F">
              <w:rPr>
                <w:rFonts w:ascii="Times New Roman" w:hAnsi="Times New Roman" w:cs="Times New Roman"/>
                <w:sz w:val="24"/>
                <w:szCs w:val="24"/>
              </w:rPr>
              <w:t>o</w:t>
            </w:r>
            <w:r w:rsidRPr="00DD0E5F">
              <w:rPr>
                <w:rFonts w:ascii="Times New Roman" w:hAnsi="Times New Roman" w:cs="Times New Roman"/>
                <w:sz w:val="24"/>
                <w:szCs w:val="24"/>
              </w:rPr>
              <w:t xml:space="preserve">dbioru, które zastąpiło </w:t>
            </w:r>
            <w:r w:rsidR="00631843" w:rsidRPr="00DD0E5F">
              <w:rPr>
                <w:rFonts w:ascii="Times New Roman" w:hAnsi="Times New Roman" w:cs="Times New Roman"/>
                <w:sz w:val="24"/>
                <w:szCs w:val="24"/>
              </w:rPr>
              <w:t>p</w:t>
            </w:r>
            <w:r w:rsidRPr="00DD0E5F">
              <w:rPr>
                <w:rFonts w:ascii="Times New Roman" w:hAnsi="Times New Roman" w:cs="Times New Roman"/>
                <w:sz w:val="24"/>
                <w:szCs w:val="24"/>
              </w:rPr>
              <w:t xml:space="preserve">otwierdzenia </w:t>
            </w:r>
            <w:r w:rsidR="00631843" w:rsidRPr="00DD0E5F">
              <w:rPr>
                <w:rFonts w:ascii="Times New Roman" w:hAnsi="Times New Roman" w:cs="Times New Roman"/>
                <w:sz w:val="24"/>
                <w:szCs w:val="24"/>
              </w:rPr>
              <w:t>o</w:t>
            </w:r>
            <w:r w:rsidRPr="00DD0E5F">
              <w:rPr>
                <w:rFonts w:ascii="Times New Roman" w:hAnsi="Times New Roman" w:cs="Times New Roman"/>
                <w:sz w:val="24"/>
                <w:szCs w:val="24"/>
              </w:rPr>
              <w:t>dbioru w </w:t>
            </w:r>
            <w:r w:rsidR="00631843" w:rsidRPr="00DD0E5F">
              <w:rPr>
                <w:rFonts w:ascii="Times New Roman" w:hAnsi="Times New Roman" w:cs="Times New Roman"/>
                <w:sz w:val="24"/>
                <w:szCs w:val="24"/>
              </w:rPr>
              <w:t xml:space="preserve">postaci </w:t>
            </w:r>
            <w:r w:rsidRPr="00DD0E5F">
              <w:rPr>
                <w:rFonts w:ascii="Times New Roman" w:hAnsi="Times New Roman" w:cs="Times New Roman"/>
                <w:sz w:val="24"/>
                <w:szCs w:val="24"/>
              </w:rPr>
              <w:t xml:space="preserve">papierowej dla korespondencji wymiaru sprawiedliwości. </w:t>
            </w:r>
          </w:p>
          <w:p w14:paraId="66857A46" w14:textId="0F3003BF" w:rsidR="00706CDF" w:rsidRPr="00DD0E5F" w:rsidRDefault="00706CDF"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Usługę świadczy od 1 marca 2016 roku i jako jedyna na rynku w Polsce spełniła wymagania wymiaru sądownictwa. W ramach projektu</w:t>
            </w:r>
            <w:r w:rsidR="00925576" w:rsidRPr="00DD0E5F">
              <w:rPr>
                <w:rFonts w:ascii="Times New Roman" w:hAnsi="Times New Roman" w:cs="Times New Roman"/>
                <w:sz w:val="24"/>
                <w:szCs w:val="24"/>
              </w:rPr>
              <w:t>,</w:t>
            </w:r>
            <w:r w:rsidRPr="00DD0E5F">
              <w:rPr>
                <w:rFonts w:ascii="Times New Roman" w:hAnsi="Times New Roman" w:cs="Times New Roman"/>
                <w:sz w:val="24"/>
                <w:szCs w:val="24"/>
              </w:rPr>
              <w:t xml:space="preserve"> listonosze w całym kraju otrzymali urządzenia mobilne (ponad 23 tys.) podłączone do Internetu, dzięki którym informacja o statusie przesyłki i jej doręczeniu przekazywana jest do nadawcy w czasie rzeczywistym. </w:t>
            </w:r>
            <w:r w:rsidRPr="00DD0E5F">
              <w:rPr>
                <w:rStyle w:val="Pogrubienie"/>
                <w:rFonts w:ascii="Times New Roman" w:hAnsi="Times New Roman" w:cs="Times New Roman"/>
                <w:b w:val="0"/>
                <w:sz w:val="24"/>
                <w:szCs w:val="24"/>
              </w:rPr>
              <w:t>To innowacyjne rozwiązanie jest największym tego typu wdrożeniem w Europie (wg zakresu i obszaru wdrożenia oraz ilości pozyskanych urządzeń), nagradzanym w wielu prestiżowych konkursach.</w:t>
            </w:r>
            <w:r w:rsidRPr="00DD0E5F">
              <w:rPr>
                <w:rFonts w:ascii="Times New Roman" w:hAnsi="Times New Roman" w:cs="Times New Roman"/>
                <w:sz w:val="24"/>
                <w:szCs w:val="24"/>
              </w:rPr>
              <w:t xml:space="preserve"> Ponadto w</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 xml:space="preserve">2016r. we wszystkich placówkach sieci własnej Poczta Polska zainstalowała nowoczesne terminale płatnicze. Wdrożenie objęło łącznie ponad 4600 placówek, w których zainstalowano blisko 8000 terminali POS. To wdrożenie należało również do jednych z największych w skali kraju. </w:t>
            </w:r>
          </w:p>
          <w:p w14:paraId="01BB6F6E" w14:textId="143DD5C3" w:rsidR="00706CDF" w:rsidRPr="00DD0E5F" w:rsidRDefault="00706CDF" w:rsidP="00052A6C">
            <w:pPr>
              <w:spacing w:after="120"/>
              <w:ind w:left="63"/>
              <w:jc w:val="both"/>
              <w:rPr>
                <w:rFonts w:ascii="Times New Roman" w:hAnsi="Times New Roman" w:cs="Times New Roman"/>
                <w:sz w:val="24"/>
                <w:szCs w:val="24"/>
                <w:highlight w:val="yellow"/>
              </w:rPr>
            </w:pPr>
            <w:r w:rsidRPr="00DD0E5F">
              <w:rPr>
                <w:rFonts w:ascii="Times New Roman" w:hAnsi="Times New Roman" w:cs="Times New Roman"/>
                <w:sz w:val="24"/>
                <w:szCs w:val="24"/>
              </w:rPr>
              <w:t>Poczta Polska S.A. zapewnia określone w ustawie – Prawo pocztowe warunki do przestrzegania tajemnicy pocztowej, zgodnie z art. 41 ustawy. Tajemnicą pocztową objęte są informacje przekazywane w przesyłkach, informacje dotyczące realizowanych przekazów pocztowych, dane dotyczące podmiotów korzystających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usług pocztowych oraz dane dotyczące faktu i okoliczności świadczenia usług pocztowych lub korzystania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tych usług. Zgodnie z w/w ustawą zapewnia warunki techniczne i organizacyjne świadczenia usług pocztowych niezbędne dla zachowania bezpieczeństwa obrotu pocztowego. Posiada wymagane regulaminy usług pocztowych oraz zapewnia, że wykonywanie działalności nie zagraża obronności i bezpieczeństwu państwa, ani bezpieczeństwu i porządkowi publicznemu.</w:t>
            </w:r>
            <w:r w:rsidR="00123103" w:rsidRPr="00DD0E5F">
              <w:rPr>
                <w:rFonts w:ascii="Times New Roman" w:hAnsi="Times New Roman" w:cs="Times New Roman"/>
                <w:sz w:val="24"/>
                <w:szCs w:val="24"/>
              </w:rPr>
              <w:t xml:space="preserve"> </w:t>
            </w:r>
          </w:p>
          <w:p w14:paraId="0EAE72DB" w14:textId="77777777" w:rsidR="008B50A7" w:rsidRPr="00DD0E5F" w:rsidRDefault="007276DF"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Powierzenie Poczcie Polskiej S.A. świadczenia publicznej usługi rejestrowanego doręczenia elektronicznego oraz publicznej usługi hybrydowej poprzedzone zostało analizą jej gotowości do świadczenia wyżej wymienionych usług. Opracowane zostały dwa warianty realizacji przedsięwzięcia, w tym wariant z</w:t>
            </w:r>
            <w:r w:rsidR="007237D8" w:rsidRPr="00DD0E5F">
              <w:rPr>
                <w:rFonts w:ascii="Times New Roman" w:hAnsi="Times New Roman" w:cs="Times New Roman"/>
                <w:sz w:val="24"/>
                <w:szCs w:val="24"/>
              </w:rPr>
              <w:t> </w:t>
            </w:r>
            <w:r w:rsidRPr="00DD0E5F">
              <w:rPr>
                <w:rFonts w:ascii="Times New Roman" w:hAnsi="Times New Roman" w:cs="Times New Roman"/>
                <w:sz w:val="24"/>
                <w:szCs w:val="24"/>
              </w:rPr>
              <w:t xml:space="preserve">udziałem </w:t>
            </w:r>
            <w:r w:rsidR="00752DD5" w:rsidRPr="00DD0E5F">
              <w:rPr>
                <w:rFonts w:ascii="Times New Roman" w:hAnsi="Times New Roman" w:cs="Times New Roman"/>
                <w:sz w:val="24"/>
                <w:szCs w:val="24"/>
              </w:rPr>
              <w:t>„</w:t>
            </w:r>
            <w:r w:rsidRPr="00DD0E5F">
              <w:rPr>
                <w:rFonts w:ascii="Times New Roman" w:hAnsi="Times New Roman" w:cs="Times New Roman"/>
                <w:sz w:val="24"/>
                <w:szCs w:val="24"/>
              </w:rPr>
              <w:t>N</w:t>
            </w:r>
            <w:r w:rsidR="007A216B" w:rsidRPr="00DD0E5F">
              <w:rPr>
                <w:rFonts w:ascii="Times New Roman" w:hAnsi="Times New Roman" w:cs="Times New Roman"/>
                <w:sz w:val="24"/>
                <w:szCs w:val="24"/>
              </w:rPr>
              <w:t xml:space="preserve">arodowego </w:t>
            </w:r>
            <w:r w:rsidRPr="00DD0E5F">
              <w:rPr>
                <w:rFonts w:ascii="Times New Roman" w:hAnsi="Times New Roman" w:cs="Times New Roman"/>
                <w:sz w:val="24"/>
                <w:szCs w:val="24"/>
              </w:rPr>
              <w:t>O</w:t>
            </w:r>
            <w:r w:rsidR="007A216B" w:rsidRPr="00DD0E5F">
              <w:rPr>
                <w:rFonts w:ascii="Times New Roman" w:hAnsi="Times New Roman" w:cs="Times New Roman"/>
                <w:sz w:val="24"/>
                <w:szCs w:val="24"/>
              </w:rPr>
              <w:t xml:space="preserve">peratora </w:t>
            </w:r>
            <w:r w:rsidRPr="00DD0E5F">
              <w:rPr>
                <w:rFonts w:ascii="Times New Roman" w:hAnsi="Times New Roman" w:cs="Times New Roman"/>
                <w:sz w:val="24"/>
                <w:szCs w:val="24"/>
              </w:rPr>
              <w:t>C</w:t>
            </w:r>
            <w:r w:rsidR="007A216B" w:rsidRPr="00DD0E5F">
              <w:rPr>
                <w:rFonts w:ascii="Times New Roman" w:hAnsi="Times New Roman" w:cs="Times New Roman"/>
                <w:sz w:val="24"/>
                <w:szCs w:val="24"/>
              </w:rPr>
              <w:t>yfrowego</w:t>
            </w:r>
            <w:r w:rsidR="00752DD5" w:rsidRPr="00DD0E5F">
              <w:rPr>
                <w:rFonts w:ascii="Times New Roman" w:hAnsi="Times New Roman" w:cs="Times New Roman"/>
                <w:sz w:val="24"/>
                <w:szCs w:val="24"/>
              </w:rPr>
              <w:t>”</w:t>
            </w:r>
            <w:r w:rsidR="007A216B" w:rsidRPr="00DD0E5F">
              <w:rPr>
                <w:rFonts w:ascii="Times New Roman" w:hAnsi="Times New Roman" w:cs="Times New Roman"/>
                <w:sz w:val="24"/>
                <w:szCs w:val="24"/>
              </w:rPr>
              <w:t xml:space="preserve"> (NOC) odpowiedzialnego za realizacj</w:t>
            </w:r>
            <w:r w:rsidR="00925576" w:rsidRPr="00DD0E5F">
              <w:rPr>
                <w:rFonts w:ascii="Times New Roman" w:hAnsi="Times New Roman" w:cs="Times New Roman"/>
                <w:sz w:val="24"/>
                <w:szCs w:val="24"/>
              </w:rPr>
              <w:t>ę</w:t>
            </w:r>
            <w:r w:rsidR="007A216B" w:rsidRPr="00DD0E5F">
              <w:rPr>
                <w:rFonts w:ascii="Times New Roman" w:hAnsi="Times New Roman" w:cs="Times New Roman"/>
                <w:sz w:val="24"/>
                <w:szCs w:val="24"/>
              </w:rPr>
              <w:t xml:space="preserve"> publicznej usługi e</w:t>
            </w:r>
            <w:r w:rsidR="007237D8" w:rsidRPr="00DD0E5F">
              <w:rPr>
                <w:rFonts w:ascii="Times New Roman" w:hAnsi="Times New Roman" w:cs="Times New Roman"/>
                <w:sz w:val="24"/>
                <w:szCs w:val="24"/>
              </w:rPr>
              <w:noBreakHyphen/>
            </w:r>
            <w:r w:rsidR="007A216B" w:rsidRPr="00DD0E5F">
              <w:rPr>
                <w:rFonts w:ascii="Times New Roman" w:hAnsi="Times New Roman" w:cs="Times New Roman"/>
                <w:sz w:val="24"/>
                <w:szCs w:val="24"/>
              </w:rPr>
              <w:t xml:space="preserve">Doręczenia </w:t>
            </w:r>
            <w:r w:rsidR="00752DD5" w:rsidRPr="00DD0E5F">
              <w:rPr>
                <w:rFonts w:ascii="Times New Roman" w:hAnsi="Times New Roman" w:cs="Times New Roman"/>
                <w:sz w:val="24"/>
                <w:szCs w:val="24"/>
              </w:rPr>
              <w:t xml:space="preserve">oraz </w:t>
            </w:r>
            <w:r w:rsidR="007A216B" w:rsidRPr="00DD0E5F">
              <w:rPr>
                <w:rFonts w:ascii="Times New Roman" w:hAnsi="Times New Roman" w:cs="Times New Roman"/>
                <w:sz w:val="24"/>
                <w:szCs w:val="24"/>
              </w:rPr>
              <w:t>publicznej usługi hybrydowej</w:t>
            </w:r>
            <w:r w:rsidRPr="00DD0E5F">
              <w:rPr>
                <w:rFonts w:ascii="Times New Roman" w:hAnsi="Times New Roman" w:cs="Times New Roman"/>
                <w:sz w:val="24"/>
                <w:szCs w:val="24"/>
              </w:rPr>
              <w:t xml:space="preserve">. Szczegółowy opis </w:t>
            </w:r>
            <w:r w:rsidR="007A216B" w:rsidRPr="00DD0E5F">
              <w:rPr>
                <w:rFonts w:ascii="Times New Roman" w:hAnsi="Times New Roman" w:cs="Times New Roman"/>
                <w:sz w:val="24"/>
                <w:szCs w:val="24"/>
              </w:rPr>
              <w:t xml:space="preserve">wariantu </w:t>
            </w:r>
            <w:r w:rsidRPr="00DD0E5F">
              <w:rPr>
                <w:rFonts w:ascii="Times New Roman" w:hAnsi="Times New Roman" w:cs="Times New Roman"/>
                <w:sz w:val="24"/>
                <w:szCs w:val="24"/>
              </w:rPr>
              <w:t xml:space="preserve">zawierał między innymi materiały dostarczone przez Pocztę Polską </w:t>
            </w:r>
            <w:r w:rsidR="00EA0361" w:rsidRPr="00DD0E5F">
              <w:rPr>
                <w:rFonts w:ascii="Times New Roman" w:hAnsi="Times New Roman" w:cs="Times New Roman"/>
                <w:sz w:val="24"/>
                <w:szCs w:val="24"/>
              </w:rPr>
              <w:t xml:space="preserve">S.A., </w:t>
            </w:r>
            <w:r w:rsidRPr="00DD0E5F">
              <w:rPr>
                <w:rFonts w:ascii="Times New Roman" w:hAnsi="Times New Roman" w:cs="Times New Roman"/>
                <w:sz w:val="24"/>
                <w:szCs w:val="24"/>
              </w:rPr>
              <w:t xml:space="preserve">stanowiące tajemnicę przedsiębiorstwa. </w:t>
            </w:r>
          </w:p>
          <w:p w14:paraId="1B7FB48F" w14:textId="77777777" w:rsidR="007276DF" w:rsidRPr="00DD0E5F" w:rsidRDefault="007276DF"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Minister Cyfryzacji działając na podstawie § 2 ust. 2 pkt 1 lit. a i f zarządzenia nr 131 Prezesa Rady Ministrów z dnia 30 września 2016 r. w sprawie Komitetu Ekonomicznego Rady Ministrów (M.P. poz. 946 i z 2018 poz. 272) zwrócił się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wnioskiem o rozpatrzenie przez Komitet opracowanych wariantów zapewnienia obywatelom i przedsiębiorcom usługi rejestrowanego doręczenia elektronicznego i dokonanie wyboru wariantu rekomendowanego do wdrożenia. Na posiedzeniu w dniu 5</w:t>
            </w:r>
            <w:r w:rsidR="007237D8" w:rsidRPr="00DD0E5F">
              <w:rPr>
                <w:rFonts w:ascii="Times New Roman" w:hAnsi="Times New Roman" w:cs="Times New Roman"/>
                <w:sz w:val="24"/>
                <w:szCs w:val="24"/>
              </w:rPr>
              <w:t> </w:t>
            </w:r>
            <w:r w:rsidRPr="00DD0E5F">
              <w:rPr>
                <w:rFonts w:ascii="Times New Roman" w:hAnsi="Times New Roman" w:cs="Times New Roman"/>
                <w:sz w:val="24"/>
                <w:szCs w:val="24"/>
              </w:rPr>
              <w:t>czerwca 2018 r. KERM zarekomendował real</w:t>
            </w:r>
            <w:r w:rsidR="007A216B" w:rsidRPr="00DD0E5F">
              <w:rPr>
                <w:rFonts w:ascii="Times New Roman" w:hAnsi="Times New Roman" w:cs="Times New Roman"/>
                <w:sz w:val="24"/>
                <w:szCs w:val="24"/>
              </w:rPr>
              <w:t xml:space="preserve">izację wariantu </w:t>
            </w:r>
            <w:r w:rsidR="00204410" w:rsidRPr="00DD0E5F">
              <w:rPr>
                <w:rFonts w:ascii="Times New Roman" w:hAnsi="Times New Roman" w:cs="Times New Roman"/>
                <w:sz w:val="24"/>
                <w:szCs w:val="24"/>
              </w:rPr>
              <w:t>z udziałem Narodowego Operatora Cyfrowego.</w:t>
            </w:r>
            <w:r w:rsidRPr="00DD0E5F">
              <w:rPr>
                <w:rFonts w:ascii="Times New Roman" w:hAnsi="Times New Roman" w:cs="Times New Roman"/>
                <w:sz w:val="24"/>
                <w:szCs w:val="24"/>
              </w:rPr>
              <w:t xml:space="preserve"> </w:t>
            </w:r>
          </w:p>
          <w:p w14:paraId="3509DBD2" w14:textId="77777777" w:rsidR="00C7135B"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Jak wskazuje Instytut Pocztowy</w:t>
            </w:r>
            <w:r w:rsidRPr="00DD0E5F">
              <w:rPr>
                <w:rStyle w:val="Odwoanieprzypisudolnego"/>
                <w:rFonts w:ascii="Times New Roman" w:hAnsi="Times New Roman" w:cs="Times New Roman"/>
                <w:sz w:val="24"/>
                <w:szCs w:val="24"/>
              </w:rPr>
              <w:footnoteReference w:id="12"/>
            </w:r>
            <w:r w:rsidRPr="00DD0E5F">
              <w:rPr>
                <w:rFonts w:ascii="Times New Roman" w:hAnsi="Times New Roman" w:cs="Times New Roman"/>
                <w:sz w:val="24"/>
                <w:szCs w:val="24"/>
              </w:rPr>
              <w:t xml:space="preserve"> skutkiem ubocznym pozbawienia Poczty Polskiej roli narodowego operatora cyfrowo-logistycznego – pełniącego kluczową rolę w budowaniu systemu e-państwa przy jednoczesnym przejściu z papierowego na elektroniczny obieg korespondencji urzędowej jest „zagrożenie 65% dochodów Poczty Polskiej pochodzących z doręczania przesyłek listowych”. Wolumen listów zmniejsza się w tempie 10% rocznie, a na skutek cyfryzacji tempo to może wzrosnąć nawet do 20%. Spowoduje to znaczny spadek dochodów Poczty Polskiej S.A., a potencjalnie również utratę płynności finansowej jednego z</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największych pracodawców w kraju. Elektronizacja doręczeń korespondencji bez możliwości skompensowania straty udziałem Poczty Polskiej S.A. w realizacji wdrażanych usług musiałaby pociągnąć za sobą wystąpienie straty na usłudze powszechnej i konieczność uruchomienia kosztownej procedury kosztu netto (zmierzającej do rekompensaty straty operatora wyznaczonego wynikającej z obowiązku świadczenia usługi powszechnej) zgodnie z ustawą – Prawo pocztowe. Nieuchronna głęboka restrukturyzacja przedsiębiorstwa spowodowałaby konieczność uwolnienia przez Pocztę Polską etatów, w związku ze spadkiem wolumenu doręczanej korespondencji w efekcie elektronizacji doręczeń, co spowodowałoby wzrost bezrobocia w Polsce – zwłaszcza na obszarach najbardziej narażonych na negatywne zjawiska ekonomiczne (przede wszystkim obszary słabiej rozwinięte ekonomicznie, obszary wiejskie i małe ośrodki miejskie). Trudnym do zaakceptowania skutkiem społecznym byłoby również pozbawienie ok. 50% gmin w</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 xml:space="preserve">Polsce placówek pocztowych – praktycznie jedynego łącznika państwa z obywatelami na terenach peryferyjnych. </w:t>
            </w:r>
            <w:r w:rsidR="00204410" w:rsidRPr="00DD0E5F">
              <w:rPr>
                <w:rFonts w:ascii="Times New Roman" w:hAnsi="Times New Roman" w:cs="Times New Roman"/>
                <w:sz w:val="24"/>
                <w:szCs w:val="24"/>
              </w:rPr>
              <w:t>Skutki byłyby szczególnie istotne d</w:t>
            </w:r>
            <w:r w:rsidRPr="00DD0E5F">
              <w:rPr>
                <w:rFonts w:ascii="Times New Roman" w:hAnsi="Times New Roman" w:cs="Times New Roman"/>
                <w:sz w:val="24"/>
                <w:szCs w:val="24"/>
              </w:rPr>
              <w:t xml:space="preserve">la mieszkańców małych miejscowości położonych z dala od większych ośrodków miejskich. Likwidowanie poczt i ograniczanie częstotliwości dostarczania </w:t>
            </w:r>
            <w:r w:rsidRPr="00DD0E5F">
              <w:rPr>
                <w:rFonts w:ascii="Times New Roman" w:hAnsi="Times New Roman" w:cs="Times New Roman"/>
                <w:sz w:val="24"/>
                <w:szCs w:val="24"/>
              </w:rPr>
              <w:lastRenderedPageBreak/>
              <w:t>korespondencji skazuje te tereny na jeszcze większe pogłębienie ich dystansu cywilizacyjnego. Zjawisko to szczególnie dotknęłoby osoby wykluczone cyfrowo, które nie byłyby w stanie efektywnie zastąpić obecnego obiegu informacji, w tym korespondencji, obiegiem elektronicznym. Skala negatywnych zjawisk ekonomicznych nie pozwoliłaby na odpowiednie zrekompensowanie straty zmianą cenników Poczty Polskiej S.A. pomimo nieuchronnego zwiększenia opłat za jej usługi.</w:t>
            </w:r>
          </w:p>
          <w:p w14:paraId="5642C867" w14:textId="77777777" w:rsidR="00C7135B"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 xml:space="preserve">Powierzenie Poczcie Polskiej S.A. roli dostawcy </w:t>
            </w:r>
            <w:r w:rsidR="00925576" w:rsidRPr="00DD0E5F">
              <w:rPr>
                <w:rFonts w:ascii="Times New Roman" w:hAnsi="Times New Roman" w:cs="Times New Roman"/>
                <w:sz w:val="24"/>
                <w:szCs w:val="24"/>
              </w:rPr>
              <w:t xml:space="preserve">publicznej </w:t>
            </w:r>
            <w:r w:rsidRPr="00DD0E5F">
              <w:rPr>
                <w:rFonts w:ascii="Times New Roman" w:hAnsi="Times New Roman" w:cs="Times New Roman"/>
                <w:sz w:val="24"/>
                <w:szCs w:val="24"/>
              </w:rPr>
              <w:t>usługi rejestrowanego doręczenia elektronicznego w Polsce pozwoli jej na udział w procesie cyfryzacji państwa jako kluczowy partner</w:t>
            </w:r>
            <w:r w:rsidR="00513EE7" w:rsidRPr="00DD0E5F">
              <w:rPr>
                <w:rFonts w:ascii="Times New Roman" w:hAnsi="Times New Roman" w:cs="Times New Roman"/>
                <w:sz w:val="24"/>
                <w:szCs w:val="24"/>
              </w:rPr>
              <w:t>a</w:t>
            </w:r>
            <w:r w:rsidRPr="00DD0E5F">
              <w:rPr>
                <w:rFonts w:ascii="Times New Roman" w:hAnsi="Times New Roman" w:cs="Times New Roman"/>
                <w:sz w:val="24"/>
                <w:szCs w:val="24"/>
              </w:rPr>
              <w:t xml:space="preserve"> i złagodzenie straty wynikającej z utraty przychodów z tradycyjnych usług listowych poprzez przychody z tytułu usług cyfrowych. Pozwoli to na stopniową reorganizację przedsiębiorstwa, dostosowując</w:t>
            </w:r>
            <w:r w:rsidR="00925576" w:rsidRPr="00DD0E5F">
              <w:rPr>
                <w:rFonts w:ascii="Times New Roman" w:hAnsi="Times New Roman" w:cs="Times New Roman"/>
                <w:sz w:val="24"/>
                <w:szCs w:val="24"/>
              </w:rPr>
              <w:t>ą</w:t>
            </w:r>
            <w:r w:rsidRPr="00DD0E5F">
              <w:rPr>
                <w:rFonts w:ascii="Times New Roman" w:hAnsi="Times New Roman" w:cs="Times New Roman"/>
                <w:sz w:val="24"/>
                <w:szCs w:val="24"/>
              </w:rPr>
              <w:t xml:space="preserve"> je do nowego modelu komunikacji i</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przesyłania korespondencji. Ze względu na wytworzenie nowych miejsc pracy, związanych z wdrażanymi usługami oraz przekwalifikowanie zatrudnionych pracowników do nowych czynności związanych z nimi oraz np. z rozwojem branży e-commerce, redukcja etatów byłaby wówczas znikoma. Posiadana przez operatora elektroniczna platforma służąca do komunikacji elektronicznej i hybrydowej między obywatelami i</w:t>
            </w:r>
            <w:r w:rsidR="00925576" w:rsidRPr="00DD0E5F">
              <w:rPr>
                <w:rFonts w:ascii="Times New Roman" w:hAnsi="Times New Roman" w:cs="Times New Roman"/>
                <w:sz w:val="24"/>
                <w:szCs w:val="24"/>
              </w:rPr>
              <w:t> </w:t>
            </w:r>
            <w:r w:rsidRPr="00DD0E5F">
              <w:rPr>
                <w:rFonts w:ascii="Times New Roman" w:hAnsi="Times New Roman" w:cs="Times New Roman"/>
                <w:sz w:val="24"/>
                <w:szCs w:val="24"/>
              </w:rPr>
              <w:t>przedsiębiorcami będzie wykorzystywana i rozwijana. Posiadana przez Pocztę Polską S.A. sieć placówek będzie mogła nie tylko świadczyć – jak obecnie – misję związaną z realizacją usługi powszechnej, lecz będzie mogła służyć innym, innowacyjnym usługom adresowanym do obywateli.</w:t>
            </w:r>
          </w:p>
          <w:p w14:paraId="66672CDD" w14:textId="77777777" w:rsidR="00E441B4"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 xml:space="preserve">Należy też zauważyć, że Poczta Polska posiada potencjał do szybkiej adaptacji swoich zasobów do świadczenia </w:t>
            </w:r>
            <w:r w:rsidR="00925576" w:rsidRPr="00DD0E5F">
              <w:rPr>
                <w:rFonts w:ascii="Times New Roman" w:hAnsi="Times New Roman" w:cs="Times New Roman"/>
                <w:sz w:val="24"/>
                <w:szCs w:val="24"/>
              </w:rPr>
              <w:t>p</w:t>
            </w:r>
            <w:r w:rsidRPr="00DD0E5F">
              <w:rPr>
                <w:rFonts w:ascii="Times New Roman" w:hAnsi="Times New Roman" w:cs="Times New Roman"/>
                <w:sz w:val="24"/>
                <w:szCs w:val="24"/>
              </w:rPr>
              <w:t xml:space="preserve">ublicznej </w:t>
            </w:r>
            <w:r w:rsidR="00925576" w:rsidRPr="00DD0E5F">
              <w:rPr>
                <w:rFonts w:ascii="Times New Roman" w:hAnsi="Times New Roman" w:cs="Times New Roman"/>
                <w:sz w:val="24"/>
                <w:szCs w:val="24"/>
              </w:rPr>
              <w:t>u</w:t>
            </w:r>
            <w:r w:rsidRPr="00DD0E5F">
              <w:rPr>
                <w:rFonts w:ascii="Times New Roman" w:hAnsi="Times New Roman" w:cs="Times New Roman"/>
                <w:sz w:val="24"/>
                <w:szCs w:val="24"/>
              </w:rPr>
              <w:t xml:space="preserve">sługi </w:t>
            </w:r>
            <w:r w:rsidR="00925576" w:rsidRPr="00DD0E5F">
              <w:rPr>
                <w:rFonts w:ascii="Times New Roman" w:hAnsi="Times New Roman" w:cs="Times New Roman"/>
                <w:sz w:val="24"/>
                <w:szCs w:val="24"/>
              </w:rPr>
              <w:t>h</w:t>
            </w:r>
            <w:r w:rsidRPr="00DD0E5F">
              <w:rPr>
                <w:rFonts w:ascii="Times New Roman" w:hAnsi="Times New Roman" w:cs="Times New Roman"/>
                <w:sz w:val="24"/>
                <w:szCs w:val="24"/>
              </w:rPr>
              <w:t>ybrydowej (</w:t>
            </w:r>
            <w:r w:rsidR="00513EE7" w:rsidRPr="00DD0E5F">
              <w:rPr>
                <w:rFonts w:ascii="Times New Roman" w:hAnsi="Times New Roman" w:cs="Times New Roman"/>
                <w:sz w:val="24"/>
                <w:szCs w:val="24"/>
              </w:rPr>
              <w:t>między innym</w:t>
            </w:r>
            <w:r w:rsidR="0081416C" w:rsidRPr="00DD0E5F">
              <w:rPr>
                <w:rFonts w:ascii="Times New Roman" w:hAnsi="Times New Roman" w:cs="Times New Roman"/>
                <w:sz w:val="24"/>
                <w:szCs w:val="24"/>
              </w:rPr>
              <w:t>i</w:t>
            </w:r>
            <w:r w:rsidR="00513EE7" w:rsidRPr="00DD0E5F">
              <w:rPr>
                <w:rFonts w:ascii="Times New Roman" w:hAnsi="Times New Roman" w:cs="Times New Roman"/>
                <w:sz w:val="24"/>
                <w:szCs w:val="24"/>
              </w:rPr>
              <w:t xml:space="preserve"> dzięki doświadczeniom </w:t>
            </w:r>
            <w:r w:rsidRPr="00DD0E5F">
              <w:rPr>
                <w:rFonts w:ascii="Times New Roman" w:hAnsi="Times New Roman" w:cs="Times New Roman"/>
                <w:sz w:val="24"/>
                <w:szCs w:val="24"/>
              </w:rPr>
              <w:t>związany</w:t>
            </w:r>
            <w:r w:rsidR="00513EE7" w:rsidRPr="00DD0E5F">
              <w:rPr>
                <w:rFonts w:ascii="Times New Roman" w:hAnsi="Times New Roman" w:cs="Times New Roman"/>
                <w:sz w:val="24"/>
                <w:szCs w:val="24"/>
              </w:rPr>
              <w:t>m</w:t>
            </w:r>
            <w:r w:rsidRPr="00DD0E5F">
              <w:rPr>
                <w:rFonts w:ascii="Times New Roman" w:hAnsi="Times New Roman" w:cs="Times New Roman"/>
                <w:sz w:val="24"/>
                <w:szCs w:val="24"/>
              </w:rPr>
              <w:t xml:space="preserve"> z realizacją</w:t>
            </w:r>
            <w:r w:rsidR="00513EE7" w:rsidRPr="00DD0E5F">
              <w:rPr>
                <w:rFonts w:ascii="Times New Roman" w:hAnsi="Times New Roman" w:cs="Times New Roman"/>
                <w:sz w:val="24"/>
                <w:szCs w:val="24"/>
              </w:rPr>
              <w:t xml:space="preserve"> usług hybrydowych od </w:t>
            </w:r>
            <w:r w:rsidRPr="00DD0E5F">
              <w:rPr>
                <w:rFonts w:ascii="Times New Roman" w:hAnsi="Times New Roman" w:cs="Times New Roman"/>
                <w:sz w:val="24"/>
                <w:szCs w:val="24"/>
              </w:rPr>
              <w:t xml:space="preserve"> 2013 r. </w:t>
            </w:r>
            <w:r w:rsidR="00513EE7" w:rsidRPr="00DD0E5F">
              <w:rPr>
                <w:rFonts w:ascii="Times New Roman" w:hAnsi="Times New Roman" w:cs="Times New Roman"/>
                <w:sz w:val="24"/>
                <w:szCs w:val="24"/>
              </w:rPr>
              <w:t xml:space="preserve">oraz możliwością wykorzystania już </w:t>
            </w:r>
            <w:r w:rsidRPr="00DD0E5F">
              <w:rPr>
                <w:rFonts w:ascii="Times New Roman" w:hAnsi="Times New Roman" w:cs="Times New Roman"/>
                <w:sz w:val="24"/>
                <w:szCs w:val="24"/>
              </w:rPr>
              <w:t>posiadan</w:t>
            </w:r>
            <w:r w:rsidR="00513EE7" w:rsidRPr="00DD0E5F">
              <w:rPr>
                <w:rFonts w:ascii="Times New Roman" w:hAnsi="Times New Roman" w:cs="Times New Roman"/>
                <w:sz w:val="24"/>
                <w:szCs w:val="24"/>
              </w:rPr>
              <w:t>ych</w:t>
            </w:r>
            <w:r w:rsidRPr="00DD0E5F">
              <w:rPr>
                <w:rFonts w:ascii="Times New Roman" w:hAnsi="Times New Roman" w:cs="Times New Roman"/>
                <w:sz w:val="24"/>
                <w:szCs w:val="24"/>
              </w:rPr>
              <w:t xml:space="preserve"> zasob</w:t>
            </w:r>
            <w:r w:rsidR="00513EE7" w:rsidRPr="00DD0E5F">
              <w:rPr>
                <w:rFonts w:ascii="Times New Roman" w:hAnsi="Times New Roman" w:cs="Times New Roman"/>
                <w:sz w:val="24"/>
                <w:szCs w:val="24"/>
              </w:rPr>
              <w:t>ów</w:t>
            </w:r>
            <w:r w:rsidRPr="00DD0E5F">
              <w:rPr>
                <w:rFonts w:ascii="Times New Roman" w:hAnsi="Times New Roman" w:cs="Times New Roman"/>
                <w:sz w:val="24"/>
                <w:szCs w:val="24"/>
              </w:rPr>
              <w:t>)</w:t>
            </w:r>
            <w:r w:rsidR="00E441B4" w:rsidRPr="00DD0E5F">
              <w:rPr>
                <w:rFonts w:ascii="Times New Roman" w:hAnsi="Times New Roman" w:cs="Times New Roman"/>
                <w:sz w:val="24"/>
                <w:szCs w:val="24"/>
              </w:rPr>
              <w:t>.</w:t>
            </w:r>
          </w:p>
          <w:p w14:paraId="1F310656" w14:textId="77777777" w:rsidR="00C7135B" w:rsidRPr="00DD0E5F" w:rsidRDefault="00C7135B"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Oznacza to</w:t>
            </w:r>
            <w:r w:rsidR="00925576" w:rsidRPr="00DD0E5F">
              <w:rPr>
                <w:rFonts w:ascii="Times New Roman" w:hAnsi="Times New Roman" w:cs="Times New Roman"/>
                <w:sz w:val="24"/>
                <w:szCs w:val="24"/>
              </w:rPr>
              <w:t>,</w:t>
            </w:r>
            <w:r w:rsidRPr="00DD0E5F">
              <w:rPr>
                <w:rFonts w:ascii="Times New Roman" w:hAnsi="Times New Roman" w:cs="Times New Roman"/>
                <w:sz w:val="24"/>
                <w:szCs w:val="24"/>
              </w:rPr>
              <w:t xml:space="preserve"> że Poczta Polska posiada predyspozycje do osiągnięcia satysfakcjonującego wskaźnika związanego z czasem wprowadzenia usługi na rynek (tzw. Time To Market). Dodatkowo, wykorzystanie posiadanej przez Pocztę Polską S.A. infrastruktury (w tym sieć placówek, sortownie, Centrum Skanowania) oraz kadry pozw</w:t>
            </w:r>
            <w:r w:rsidR="00513EE7" w:rsidRPr="00DD0E5F">
              <w:rPr>
                <w:rFonts w:ascii="Times New Roman" w:hAnsi="Times New Roman" w:cs="Times New Roman"/>
                <w:sz w:val="24"/>
                <w:szCs w:val="24"/>
              </w:rPr>
              <w:t xml:space="preserve">oli racjonalizować </w:t>
            </w:r>
            <w:r w:rsidRPr="00DD0E5F">
              <w:rPr>
                <w:rFonts w:ascii="Times New Roman" w:hAnsi="Times New Roman" w:cs="Times New Roman"/>
                <w:sz w:val="24"/>
                <w:szCs w:val="24"/>
              </w:rPr>
              <w:t>koszt</w:t>
            </w:r>
            <w:r w:rsidR="00513EE7" w:rsidRPr="00DD0E5F">
              <w:rPr>
                <w:rFonts w:ascii="Times New Roman" w:hAnsi="Times New Roman" w:cs="Times New Roman"/>
                <w:sz w:val="24"/>
                <w:szCs w:val="24"/>
              </w:rPr>
              <w:t>y</w:t>
            </w:r>
            <w:r w:rsidRPr="00DD0E5F">
              <w:rPr>
                <w:rFonts w:ascii="Times New Roman" w:hAnsi="Times New Roman" w:cs="Times New Roman"/>
                <w:sz w:val="24"/>
                <w:szCs w:val="24"/>
              </w:rPr>
              <w:t xml:space="preserve"> wdrożenia publicznej usługi hybrydowej – niezbędnej dla zachowania łatwej formy komunikacji wykluczonych cyfrowo obywateli z </w:t>
            </w:r>
            <w:r w:rsidR="00513EE7" w:rsidRPr="00DD0E5F">
              <w:rPr>
                <w:rFonts w:ascii="Times New Roman" w:hAnsi="Times New Roman" w:cs="Times New Roman"/>
                <w:sz w:val="24"/>
                <w:szCs w:val="24"/>
              </w:rPr>
              <w:t xml:space="preserve">elektroniczną, w coraz większym zakresie, </w:t>
            </w:r>
            <w:r w:rsidRPr="00DD0E5F">
              <w:rPr>
                <w:rFonts w:ascii="Times New Roman" w:hAnsi="Times New Roman" w:cs="Times New Roman"/>
                <w:sz w:val="24"/>
                <w:szCs w:val="24"/>
              </w:rPr>
              <w:t>administracją publiczną.</w:t>
            </w:r>
          </w:p>
          <w:p w14:paraId="68365D6E" w14:textId="77777777" w:rsidR="00CF53BE" w:rsidRPr="00DD0E5F" w:rsidRDefault="007237D8" w:rsidP="00052A6C">
            <w:pPr>
              <w:spacing w:after="120"/>
              <w:ind w:left="63"/>
              <w:jc w:val="both"/>
              <w:rPr>
                <w:rFonts w:ascii="Times New Roman" w:hAnsi="Times New Roman" w:cs="Times New Roman"/>
                <w:sz w:val="24"/>
                <w:szCs w:val="24"/>
              </w:rPr>
            </w:pPr>
            <w:r w:rsidRPr="00DD0E5F">
              <w:rPr>
                <w:rFonts w:ascii="Times New Roman" w:hAnsi="Times New Roman" w:cs="Times New Roman"/>
                <w:sz w:val="24"/>
                <w:szCs w:val="24"/>
              </w:rPr>
              <w:t>Operator wyznaczony</w:t>
            </w:r>
            <w:r w:rsidR="00150BAD" w:rsidRPr="00DD0E5F">
              <w:rPr>
                <w:rFonts w:ascii="Times New Roman" w:hAnsi="Times New Roman" w:cs="Times New Roman"/>
                <w:sz w:val="24"/>
                <w:szCs w:val="24"/>
              </w:rPr>
              <w:t xml:space="preserve"> w okresie do </w:t>
            </w:r>
            <w:r w:rsidR="00925576" w:rsidRPr="00DD0E5F">
              <w:rPr>
                <w:rFonts w:ascii="Times New Roman" w:hAnsi="Times New Roman" w:cs="Times New Roman"/>
                <w:sz w:val="24"/>
                <w:szCs w:val="24"/>
              </w:rPr>
              <w:t xml:space="preserve">dn. </w:t>
            </w:r>
            <w:r w:rsidR="00DB2EEA" w:rsidRPr="00DD0E5F">
              <w:rPr>
                <w:rFonts w:ascii="Times New Roman" w:hAnsi="Times New Roman" w:cs="Times New Roman"/>
                <w:sz w:val="24"/>
                <w:szCs w:val="24"/>
              </w:rPr>
              <w:t>31</w:t>
            </w:r>
            <w:r w:rsidR="00925576" w:rsidRPr="00DD0E5F">
              <w:rPr>
                <w:rFonts w:ascii="Times New Roman" w:hAnsi="Times New Roman" w:cs="Times New Roman"/>
                <w:sz w:val="24"/>
                <w:szCs w:val="24"/>
              </w:rPr>
              <w:t xml:space="preserve"> grudnia</w:t>
            </w:r>
            <w:r w:rsidR="00DB2EEA" w:rsidRPr="00DD0E5F">
              <w:rPr>
                <w:rFonts w:ascii="Times New Roman" w:hAnsi="Times New Roman" w:cs="Times New Roman"/>
                <w:sz w:val="24"/>
                <w:szCs w:val="24"/>
              </w:rPr>
              <w:t xml:space="preserve"> </w:t>
            </w:r>
            <w:r w:rsidR="00150BAD" w:rsidRPr="00DD0E5F">
              <w:rPr>
                <w:rFonts w:ascii="Times New Roman" w:hAnsi="Times New Roman" w:cs="Times New Roman"/>
                <w:sz w:val="24"/>
                <w:szCs w:val="24"/>
              </w:rPr>
              <w:t>2025 r</w:t>
            </w:r>
            <w:r w:rsidR="00CF53BE" w:rsidRPr="00DD0E5F">
              <w:rPr>
                <w:rFonts w:ascii="Times New Roman" w:hAnsi="Times New Roman" w:cs="Times New Roman"/>
                <w:sz w:val="24"/>
                <w:szCs w:val="24"/>
              </w:rPr>
              <w:t xml:space="preserve"> będzie miał wyłączność </w:t>
            </w:r>
            <w:r w:rsidRPr="00DD0E5F">
              <w:rPr>
                <w:rFonts w:ascii="Times New Roman" w:hAnsi="Times New Roman" w:cs="Times New Roman"/>
                <w:sz w:val="24"/>
                <w:szCs w:val="24"/>
              </w:rPr>
              <w:t>na</w:t>
            </w:r>
            <w:r w:rsidR="00E10D97" w:rsidRPr="00DD0E5F">
              <w:rPr>
                <w:rFonts w:ascii="Times New Roman" w:hAnsi="Times New Roman" w:cs="Times New Roman"/>
                <w:sz w:val="24"/>
                <w:szCs w:val="24"/>
              </w:rPr>
              <w:t> </w:t>
            </w:r>
            <w:r w:rsidR="00ED1BFC" w:rsidRPr="00DD0E5F">
              <w:rPr>
                <w:rFonts w:ascii="Times New Roman" w:hAnsi="Times New Roman" w:cs="Times New Roman"/>
                <w:sz w:val="24"/>
                <w:szCs w:val="24"/>
              </w:rPr>
              <w:t>obsług</w:t>
            </w:r>
            <w:r w:rsidRPr="00DD0E5F">
              <w:rPr>
                <w:rFonts w:ascii="Times New Roman" w:hAnsi="Times New Roman" w:cs="Times New Roman"/>
                <w:sz w:val="24"/>
                <w:szCs w:val="24"/>
              </w:rPr>
              <w:t>ę</w:t>
            </w:r>
            <w:r w:rsidR="00ED1BFC" w:rsidRPr="00DD0E5F">
              <w:rPr>
                <w:rFonts w:ascii="Times New Roman" w:hAnsi="Times New Roman" w:cs="Times New Roman"/>
                <w:sz w:val="24"/>
                <w:szCs w:val="24"/>
              </w:rPr>
              <w:t xml:space="preserve"> </w:t>
            </w:r>
            <w:r w:rsidR="00CF53BE" w:rsidRPr="00DD0E5F">
              <w:rPr>
                <w:rFonts w:ascii="Times New Roman" w:hAnsi="Times New Roman" w:cs="Times New Roman"/>
                <w:sz w:val="24"/>
                <w:szCs w:val="24"/>
              </w:rPr>
              <w:t xml:space="preserve">doręczeń </w:t>
            </w:r>
            <w:r w:rsidR="00ED1BFC" w:rsidRPr="00DD0E5F">
              <w:rPr>
                <w:rFonts w:ascii="Times New Roman" w:hAnsi="Times New Roman" w:cs="Times New Roman"/>
                <w:sz w:val="24"/>
                <w:szCs w:val="24"/>
              </w:rPr>
              <w:t>od i</w:t>
            </w:r>
            <w:r w:rsidR="00925576" w:rsidRPr="00DD0E5F">
              <w:rPr>
                <w:rFonts w:ascii="Times New Roman" w:hAnsi="Times New Roman" w:cs="Times New Roman"/>
                <w:sz w:val="24"/>
                <w:szCs w:val="24"/>
              </w:rPr>
              <w:t> </w:t>
            </w:r>
            <w:r w:rsidR="00A02CC0" w:rsidRPr="00DD0E5F">
              <w:rPr>
                <w:rFonts w:ascii="Times New Roman" w:hAnsi="Times New Roman" w:cs="Times New Roman"/>
                <w:sz w:val="24"/>
                <w:szCs w:val="24"/>
              </w:rPr>
              <w:t xml:space="preserve">do </w:t>
            </w:r>
            <w:r w:rsidR="00CF53BE" w:rsidRPr="00DD0E5F">
              <w:rPr>
                <w:rFonts w:ascii="Times New Roman" w:hAnsi="Times New Roman" w:cs="Times New Roman"/>
                <w:sz w:val="24"/>
                <w:szCs w:val="24"/>
              </w:rPr>
              <w:t xml:space="preserve">podmiotów publicznych. </w:t>
            </w:r>
            <w:r w:rsidR="00513EE7" w:rsidRPr="00DD0E5F">
              <w:rPr>
                <w:rFonts w:ascii="Times New Roman" w:hAnsi="Times New Roman" w:cs="Times New Roman"/>
                <w:sz w:val="24"/>
                <w:szCs w:val="24"/>
              </w:rPr>
              <w:t>Zakłada się że o</w:t>
            </w:r>
            <w:r w:rsidR="007A5449" w:rsidRPr="00DD0E5F">
              <w:rPr>
                <w:rFonts w:ascii="Times New Roman" w:hAnsi="Times New Roman" w:cs="Times New Roman"/>
                <w:sz w:val="24"/>
                <w:szCs w:val="24"/>
              </w:rPr>
              <w:t xml:space="preserve">płatę za </w:t>
            </w:r>
            <w:r w:rsidR="00043D7F" w:rsidRPr="00DD0E5F">
              <w:rPr>
                <w:rFonts w:ascii="Times New Roman" w:hAnsi="Times New Roman" w:cs="Times New Roman"/>
                <w:sz w:val="24"/>
                <w:szCs w:val="24"/>
              </w:rPr>
              <w:t xml:space="preserve">realizację </w:t>
            </w:r>
            <w:r w:rsidR="007A5449" w:rsidRPr="00DD0E5F">
              <w:rPr>
                <w:rFonts w:ascii="Times New Roman" w:hAnsi="Times New Roman" w:cs="Times New Roman"/>
                <w:sz w:val="24"/>
                <w:szCs w:val="24"/>
              </w:rPr>
              <w:t>publiczn</w:t>
            </w:r>
            <w:r w:rsidR="00043D7F" w:rsidRPr="00DD0E5F">
              <w:rPr>
                <w:rFonts w:ascii="Times New Roman" w:hAnsi="Times New Roman" w:cs="Times New Roman"/>
                <w:sz w:val="24"/>
                <w:szCs w:val="24"/>
              </w:rPr>
              <w:t>ej</w:t>
            </w:r>
            <w:r w:rsidR="007A5449" w:rsidRPr="00DD0E5F">
              <w:rPr>
                <w:rFonts w:ascii="Times New Roman" w:hAnsi="Times New Roman" w:cs="Times New Roman"/>
                <w:sz w:val="24"/>
                <w:szCs w:val="24"/>
              </w:rPr>
              <w:t xml:space="preserve"> usług</w:t>
            </w:r>
            <w:r w:rsidR="00043D7F" w:rsidRPr="00DD0E5F">
              <w:rPr>
                <w:rFonts w:ascii="Times New Roman" w:hAnsi="Times New Roman" w:cs="Times New Roman"/>
                <w:sz w:val="24"/>
                <w:szCs w:val="24"/>
              </w:rPr>
              <w:t>i</w:t>
            </w:r>
            <w:r w:rsidR="007A5449" w:rsidRPr="00DD0E5F">
              <w:rPr>
                <w:rFonts w:ascii="Times New Roman" w:hAnsi="Times New Roman" w:cs="Times New Roman"/>
                <w:sz w:val="24"/>
                <w:szCs w:val="24"/>
              </w:rPr>
              <w:t xml:space="preserve"> rejestrowanego doręczenia elektronicznego pon</w:t>
            </w:r>
            <w:r w:rsidR="00513EE7" w:rsidRPr="00DD0E5F">
              <w:rPr>
                <w:rFonts w:ascii="Times New Roman" w:hAnsi="Times New Roman" w:cs="Times New Roman"/>
                <w:sz w:val="24"/>
                <w:szCs w:val="24"/>
              </w:rPr>
              <w:t>ie</w:t>
            </w:r>
            <w:r w:rsidR="007A5449" w:rsidRPr="00DD0E5F">
              <w:rPr>
                <w:rFonts w:ascii="Times New Roman" w:hAnsi="Times New Roman" w:cs="Times New Roman"/>
                <w:sz w:val="24"/>
                <w:szCs w:val="24"/>
              </w:rPr>
              <w:t>si</w:t>
            </w:r>
            <w:r w:rsidR="00513EE7" w:rsidRPr="00DD0E5F">
              <w:rPr>
                <w:rFonts w:ascii="Times New Roman" w:hAnsi="Times New Roman" w:cs="Times New Roman"/>
                <w:sz w:val="24"/>
                <w:szCs w:val="24"/>
              </w:rPr>
              <w:t>e</w:t>
            </w:r>
            <w:r w:rsidR="007A5449" w:rsidRPr="00DD0E5F">
              <w:rPr>
                <w:rFonts w:ascii="Times New Roman" w:hAnsi="Times New Roman" w:cs="Times New Roman"/>
                <w:sz w:val="24"/>
                <w:szCs w:val="24"/>
              </w:rPr>
              <w:t xml:space="preserve"> nadawca, z wyjątkiem korespondencji kierowanej przez podmiot niepubliczny z ESD do podmiotu publicznego na ESP. Powyższe oznacza, że dla </w:t>
            </w:r>
            <w:r w:rsidR="00CF53BE" w:rsidRPr="00DD0E5F">
              <w:rPr>
                <w:rFonts w:ascii="Times New Roman" w:hAnsi="Times New Roman" w:cs="Times New Roman"/>
                <w:sz w:val="24"/>
                <w:szCs w:val="24"/>
              </w:rPr>
              <w:t>podmiotów niepublicznych usługa e</w:t>
            </w:r>
            <w:r w:rsidRPr="00DD0E5F">
              <w:rPr>
                <w:rFonts w:ascii="Times New Roman" w:hAnsi="Times New Roman" w:cs="Times New Roman"/>
                <w:sz w:val="24"/>
                <w:szCs w:val="24"/>
              </w:rPr>
              <w:noBreakHyphen/>
            </w:r>
            <w:r w:rsidR="00CF53BE" w:rsidRPr="00DD0E5F">
              <w:rPr>
                <w:rFonts w:ascii="Times New Roman" w:hAnsi="Times New Roman" w:cs="Times New Roman"/>
                <w:sz w:val="24"/>
                <w:szCs w:val="24"/>
              </w:rPr>
              <w:t xml:space="preserve">Doręczenia </w:t>
            </w:r>
            <w:r w:rsidR="00ED1BFC" w:rsidRPr="00DD0E5F">
              <w:rPr>
                <w:rFonts w:ascii="Times New Roman" w:hAnsi="Times New Roman" w:cs="Times New Roman"/>
                <w:sz w:val="24"/>
                <w:szCs w:val="24"/>
              </w:rPr>
              <w:t>do</w:t>
            </w:r>
            <w:r w:rsidR="00E10D97" w:rsidRPr="00DD0E5F">
              <w:rPr>
                <w:rFonts w:ascii="Times New Roman" w:hAnsi="Times New Roman" w:cs="Times New Roman"/>
                <w:sz w:val="24"/>
                <w:szCs w:val="24"/>
              </w:rPr>
              <w:t> </w:t>
            </w:r>
            <w:r w:rsidR="00ED1BFC" w:rsidRPr="00DD0E5F">
              <w:rPr>
                <w:rFonts w:ascii="Times New Roman" w:hAnsi="Times New Roman" w:cs="Times New Roman"/>
                <w:sz w:val="24"/>
                <w:szCs w:val="24"/>
              </w:rPr>
              <w:t>podmiotu publicznego świadczona przez</w:t>
            </w:r>
            <w:r w:rsidRPr="00DD0E5F">
              <w:rPr>
                <w:rFonts w:ascii="Times New Roman" w:hAnsi="Times New Roman" w:cs="Times New Roman"/>
                <w:sz w:val="24"/>
                <w:szCs w:val="24"/>
              </w:rPr>
              <w:t xml:space="preserve"> operatora wyznaczonego</w:t>
            </w:r>
            <w:r w:rsidR="00ED1BFC" w:rsidRPr="00DD0E5F">
              <w:rPr>
                <w:rFonts w:ascii="Times New Roman" w:hAnsi="Times New Roman" w:cs="Times New Roman"/>
                <w:sz w:val="24"/>
                <w:szCs w:val="24"/>
              </w:rPr>
              <w:t xml:space="preserve"> </w:t>
            </w:r>
            <w:r w:rsidR="00CF53BE" w:rsidRPr="00DD0E5F">
              <w:rPr>
                <w:rFonts w:ascii="Times New Roman" w:hAnsi="Times New Roman" w:cs="Times New Roman"/>
                <w:sz w:val="24"/>
                <w:szCs w:val="24"/>
              </w:rPr>
              <w:t xml:space="preserve">będzie </w:t>
            </w:r>
            <w:r w:rsidR="005B1E6C" w:rsidRPr="00DD0E5F">
              <w:rPr>
                <w:rFonts w:ascii="Times New Roman" w:hAnsi="Times New Roman" w:cs="Times New Roman"/>
                <w:sz w:val="24"/>
                <w:szCs w:val="24"/>
              </w:rPr>
              <w:t>bezpłatna</w:t>
            </w:r>
            <w:r w:rsidR="007A5449" w:rsidRPr="00DD0E5F">
              <w:rPr>
                <w:rFonts w:ascii="Times New Roman" w:hAnsi="Times New Roman" w:cs="Times New Roman"/>
                <w:sz w:val="24"/>
                <w:szCs w:val="24"/>
              </w:rPr>
              <w:t xml:space="preserve">, a opłatę za doręczenie korespondencji </w:t>
            </w:r>
            <w:r w:rsidR="00513EE7" w:rsidRPr="00DD0E5F">
              <w:rPr>
                <w:rFonts w:ascii="Times New Roman" w:hAnsi="Times New Roman" w:cs="Times New Roman"/>
                <w:sz w:val="24"/>
                <w:szCs w:val="24"/>
              </w:rPr>
              <w:t xml:space="preserve">drogą </w:t>
            </w:r>
            <w:r w:rsidR="007A5449" w:rsidRPr="00DD0E5F">
              <w:rPr>
                <w:rFonts w:ascii="Times New Roman" w:hAnsi="Times New Roman" w:cs="Times New Roman"/>
                <w:sz w:val="24"/>
                <w:szCs w:val="24"/>
              </w:rPr>
              <w:t>elektroniczn</w:t>
            </w:r>
            <w:r w:rsidR="00513EE7" w:rsidRPr="00DD0E5F">
              <w:rPr>
                <w:rFonts w:ascii="Times New Roman" w:hAnsi="Times New Roman" w:cs="Times New Roman"/>
                <w:sz w:val="24"/>
                <w:szCs w:val="24"/>
              </w:rPr>
              <w:t>ą</w:t>
            </w:r>
            <w:r w:rsidR="007A5449" w:rsidRPr="00DD0E5F">
              <w:rPr>
                <w:rFonts w:ascii="Times New Roman" w:hAnsi="Times New Roman" w:cs="Times New Roman"/>
                <w:sz w:val="24"/>
                <w:szCs w:val="24"/>
              </w:rPr>
              <w:t xml:space="preserve"> pokryje podmiot publiczny</w:t>
            </w:r>
            <w:r w:rsidR="00ED1BFC" w:rsidRPr="00DD0E5F">
              <w:rPr>
                <w:rFonts w:ascii="Times New Roman" w:hAnsi="Times New Roman" w:cs="Times New Roman"/>
                <w:sz w:val="24"/>
                <w:szCs w:val="24"/>
              </w:rPr>
              <w:t>. C</w:t>
            </w:r>
            <w:r w:rsidR="00CD35E9" w:rsidRPr="00DD0E5F">
              <w:rPr>
                <w:rFonts w:ascii="Times New Roman" w:hAnsi="Times New Roman" w:cs="Times New Roman"/>
                <w:sz w:val="24"/>
                <w:szCs w:val="24"/>
              </w:rPr>
              <w:t xml:space="preserve">ena </w:t>
            </w:r>
            <w:r w:rsidR="00CF53BE" w:rsidRPr="00DD0E5F">
              <w:rPr>
                <w:rFonts w:ascii="Times New Roman" w:hAnsi="Times New Roman" w:cs="Times New Roman"/>
                <w:sz w:val="24"/>
                <w:szCs w:val="24"/>
              </w:rPr>
              <w:t>usług</w:t>
            </w:r>
            <w:r w:rsidR="00CD35E9" w:rsidRPr="00DD0E5F">
              <w:rPr>
                <w:rFonts w:ascii="Times New Roman" w:hAnsi="Times New Roman" w:cs="Times New Roman"/>
                <w:sz w:val="24"/>
                <w:szCs w:val="24"/>
              </w:rPr>
              <w:t>i</w:t>
            </w:r>
            <w:r w:rsidR="00CF53BE" w:rsidRPr="00DD0E5F">
              <w:rPr>
                <w:rFonts w:ascii="Times New Roman" w:hAnsi="Times New Roman" w:cs="Times New Roman"/>
                <w:sz w:val="24"/>
                <w:szCs w:val="24"/>
              </w:rPr>
              <w:t xml:space="preserve"> pocztow</w:t>
            </w:r>
            <w:r w:rsidR="00246DD3" w:rsidRPr="00DD0E5F">
              <w:rPr>
                <w:rFonts w:ascii="Times New Roman" w:hAnsi="Times New Roman" w:cs="Times New Roman"/>
                <w:sz w:val="24"/>
                <w:szCs w:val="24"/>
              </w:rPr>
              <w:t>ej</w:t>
            </w:r>
            <w:r w:rsidR="00CF53BE" w:rsidRPr="00DD0E5F">
              <w:rPr>
                <w:rFonts w:ascii="Times New Roman" w:hAnsi="Times New Roman" w:cs="Times New Roman"/>
                <w:sz w:val="24"/>
                <w:szCs w:val="24"/>
              </w:rPr>
              <w:t xml:space="preserve"> przesyłki hybrydowej </w:t>
            </w:r>
            <w:r w:rsidR="009605FD" w:rsidRPr="00DD0E5F">
              <w:rPr>
                <w:rFonts w:ascii="Times New Roman" w:hAnsi="Times New Roman" w:cs="Times New Roman"/>
                <w:sz w:val="24"/>
                <w:szCs w:val="24"/>
              </w:rPr>
              <w:t>zostanie</w:t>
            </w:r>
            <w:r w:rsidR="00CF53BE" w:rsidRPr="00DD0E5F">
              <w:rPr>
                <w:rFonts w:ascii="Times New Roman" w:hAnsi="Times New Roman" w:cs="Times New Roman"/>
                <w:sz w:val="24"/>
                <w:szCs w:val="24"/>
              </w:rPr>
              <w:t xml:space="preserve"> </w:t>
            </w:r>
            <w:r w:rsidR="00CD35E9" w:rsidRPr="00DD0E5F">
              <w:rPr>
                <w:rFonts w:ascii="Times New Roman" w:hAnsi="Times New Roman" w:cs="Times New Roman"/>
                <w:sz w:val="24"/>
                <w:szCs w:val="24"/>
              </w:rPr>
              <w:t xml:space="preserve">ustalona </w:t>
            </w:r>
            <w:r w:rsidR="009605FD" w:rsidRPr="00DD0E5F">
              <w:rPr>
                <w:rFonts w:ascii="Times New Roman" w:hAnsi="Times New Roman" w:cs="Times New Roman"/>
                <w:sz w:val="24"/>
                <w:szCs w:val="24"/>
              </w:rPr>
              <w:t xml:space="preserve">przez operatora wyznaczonego </w:t>
            </w:r>
            <w:r w:rsidR="00EE2610" w:rsidRPr="00DD0E5F">
              <w:rPr>
                <w:rFonts w:ascii="Times New Roman" w:hAnsi="Times New Roman" w:cs="Times New Roman"/>
                <w:sz w:val="24"/>
                <w:szCs w:val="24"/>
              </w:rPr>
              <w:t>z uwzględnieniem kosztów jej świadczenia.</w:t>
            </w:r>
            <w:r w:rsidR="00CD35E9" w:rsidRPr="00DD0E5F">
              <w:rPr>
                <w:rFonts w:ascii="Times New Roman" w:hAnsi="Times New Roman" w:cs="Times New Roman"/>
                <w:sz w:val="24"/>
                <w:szCs w:val="24"/>
              </w:rPr>
              <w:t xml:space="preserve"> </w:t>
            </w:r>
            <w:r w:rsidR="00B533A4" w:rsidRPr="00DD0E5F">
              <w:rPr>
                <w:rFonts w:ascii="Times New Roman" w:hAnsi="Times New Roman" w:cs="Times New Roman"/>
                <w:sz w:val="24"/>
                <w:szCs w:val="24"/>
              </w:rPr>
              <w:t>Prezes UKE określi, w drodze decyzji</w:t>
            </w:r>
            <w:r w:rsidR="00261461" w:rsidRPr="00DD0E5F">
              <w:rPr>
                <w:rFonts w:ascii="Times New Roman" w:hAnsi="Times New Roman" w:cs="Times New Roman"/>
                <w:sz w:val="24"/>
                <w:szCs w:val="24"/>
              </w:rPr>
              <w:t>,</w:t>
            </w:r>
            <w:r w:rsidR="00B533A4" w:rsidRPr="00DD0E5F">
              <w:rPr>
                <w:rFonts w:ascii="Times New Roman" w:hAnsi="Times New Roman" w:cs="Times New Roman"/>
                <w:sz w:val="24"/>
                <w:szCs w:val="24"/>
              </w:rPr>
              <w:t xml:space="preserve"> na trzyletnie okresy, maksymalne roczne poziomy opłat za każdą z powyższych usług, mając na uwadze koszty świadczenia każdej z tych usług, zapewnienie przystępności cenowej tych usług oraz uwarunkowania ekonomiczne. </w:t>
            </w:r>
            <w:r w:rsidR="00CD35E9" w:rsidRPr="00DD0E5F">
              <w:rPr>
                <w:rFonts w:ascii="Times New Roman" w:hAnsi="Times New Roman" w:cs="Times New Roman"/>
                <w:sz w:val="24"/>
                <w:szCs w:val="24"/>
              </w:rPr>
              <w:t xml:space="preserve">Opłaty związane z </w:t>
            </w:r>
            <w:r w:rsidRPr="00DD0E5F">
              <w:rPr>
                <w:rFonts w:ascii="Times New Roman" w:hAnsi="Times New Roman" w:cs="Times New Roman"/>
                <w:sz w:val="24"/>
                <w:szCs w:val="24"/>
              </w:rPr>
              <w:t>publiczną usługą rejestrowanego doręczenia elektronicznego i publiczną usługą hybrydową</w:t>
            </w:r>
            <w:r w:rsidR="00CD35E9" w:rsidRPr="00DD0E5F">
              <w:rPr>
                <w:rFonts w:ascii="Times New Roman" w:hAnsi="Times New Roman" w:cs="Times New Roman"/>
                <w:sz w:val="24"/>
                <w:szCs w:val="24"/>
              </w:rPr>
              <w:t xml:space="preserve"> będą regulowane zgodnie z </w:t>
            </w:r>
            <w:r w:rsidR="00513EE7" w:rsidRPr="00DD0E5F">
              <w:rPr>
                <w:rFonts w:ascii="Times New Roman" w:hAnsi="Times New Roman" w:cs="Times New Roman"/>
                <w:sz w:val="24"/>
                <w:szCs w:val="24"/>
              </w:rPr>
              <w:t xml:space="preserve">projektowaną </w:t>
            </w:r>
            <w:r w:rsidR="00CD35E9" w:rsidRPr="00DD0E5F">
              <w:rPr>
                <w:rFonts w:ascii="Times New Roman" w:hAnsi="Times New Roman" w:cs="Times New Roman"/>
                <w:sz w:val="24"/>
                <w:szCs w:val="24"/>
              </w:rPr>
              <w:t>ustawą</w:t>
            </w:r>
            <w:r w:rsidR="007A5449" w:rsidRPr="00DD0E5F">
              <w:rPr>
                <w:rStyle w:val="Odwoanieprzypisudolnego"/>
                <w:rFonts w:ascii="Times New Roman" w:hAnsi="Times New Roman" w:cs="Times New Roman"/>
                <w:sz w:val="24"/>
                <w:szCs w:val="24"/>
              </w:rPr>
              <w:footnoteReference w:id="13"/>
            </w:r>
            <w:r w:rsidR="00CD35E9" w:rsidRPr="00DD0E5F">
              <w:rPr>
                <w:rFonts w:ascii="Times New Roman" w:hAnsi="Times New Roman" w:cs="Times New Roman"/>
                <w:sz w:val="24"/>
                <w:szCs w:val="24"/>
              </w:rPr>
              <w:t>.</w:t>
            </w:r>
          </w:p>
          <w:p w14:paraId="2830EB7E" w14:textId="77777777" w:rsidR="00303429" w:rsidRPr="00DD0E5F" w:rsidRDefault="008F0092"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W</w:t>
            </w:r>
            <w:r w:rsidR="0082060A" w:rsidRPr="00DD0E5F">
              <w:rPr>
                <w:rFonts w:ascii="Times New Roman" w:hAnsi="Times New Roman" w:cs="Times New Roman"/>
                <w:sz w:val="24"/>
                <w:szCs w:val="24"/>
              </w:rPr>
              <w:t xml:space="preserve">drożenie </w:t>
            </w:r>
            <w:r w:rsidR="00533BC9" w:rsidRPr="00DD0E5F">
              <w:rPr>
                <w:rFonts w:ascii="Times New Roman" w:hAnsi="Times New Roman" w:cs="Times New Roman"/>
                <w:sz w:val="24"/>
                <w:szCs w:val="24"/>
              </w:rPr>
              <w:t>spójnego systemu do obsługi korespondencji elektronicznej</w:t>
            </w:r>
            <w:r w:rsidR="00CB4AA3" w:rsidRPr="00DD0E5F">
              <w:rPr>
                <w:rFonts w:ascii="Times New Roman" w:hAnsi="Times New Roman" w:cs="Times New Roman"/>
                <w:sz w:val="24"/>
                <w:szCs w:val="24"/>
              </w:rPr>
              <w:t>,</w:t>
            </w:r>
            <w:r w:rsidR="00533BC9" w:rsidRPr="00DD0E5F">
              <w:rPr>
                <w:rFonts w:ascii="Times New Roman" w:hAnsi="Times New Roman" w:cs="Times New Roman"/>
                <w:sz w:val="24"/>
                <w:szCs w:val="24"/>
              </w:rPr>
              <w:t xml:space="preserve"> zapewniającego interoperacyjność </w:t>
            </w:r>
            <w:r w:rsidR="00563712" w:rsidRPr="00DD0E5F">
              <w:rPr>
                <w:rFonts w:ascii="Times New Roman" w:hAnsi="Times New Roman" w:cs="Times New Roman"/>
                <w:sz w:val="24"/>
                <w:szCs w:val="24"/>
              </w:rPr>
              <w:t>doręczeń elektronicznych</w:t>
            </w:r>
            <w:r w:rsidR="001B58A8" w:rsidRPr="00DD0E5F">
              <w:rPr>
                <w:rFonts w:ascii="Times New Roman" w:hAnsi="Times New Roman" w:cs="Times New Roman"/>
                <w:sz w:val="24"/>
                <w:szCs w:val="24"/>
              </w:rPr>
              <w:t>,</w:t>
            </w:r>
            <w:r w:rsidR="00563712" w:rsidRPr="00DD0E5F">
              <w:rPr>
                <w:rFonts w:ascii="Times New Roman" w:hAnsi="Times New Roman" w:cs="Times New Roman"/>
                <w:sz w:val="24"/>
                <w:szCs w:val="24"/>
              </w:rPr>
              <w:t xml:space="preserve"> </w:t>
            </w:r>
            <w:r w:rsidRPr="00DD0E5F">
              <w:rPr>
                <w:rFonts w:ascii="Times New Roman" w:hAnsi="Times New Roman" w:cs="Times New Roman"/>
                <w:sz w:val="24"/>
                <w:szCs w:val="24"/>
              </w:rPr>
              <w:t>w tym z</w:t>
            </w:r>
            <w:r w:rsidR="00055A48" w:rsidRPr="00DD0E5F">
              <w:rPr>
                <w:rFonts w:ascii="Times New Roman" w:hAnsi="Times New Roman" w:cs="Times New Roman"/>
                <w:sz w:val="24"/>
                <w:szCs w:val="24"/>
              </w:rPr>
              <w:t>apewni</w:t>
            </w:r>
            <w:r w:rsidRPr="00DD0E5F">
              <w:rPr>
                <w:rFonts w:ascii="Times New Roman" w:hAnsi="Times New Roman" w:cs="Times New Roman"/>
                <w:sz w:val="24"/>
                <w:szCs w:val="24"/>
              </w:rPr>
              <w:t>enie</w:t>
            </w:r>
            <w:r w:rsidR="00563712" w:rsidRPr="00DD0E5F">
              <w:rPr>
                <w:rFonts w:ascii="Times New Roman" w:hAnsi="Times New Roman" w:cs="Times New Roman"/>
                <w:sz w:val="24"/>
                <w:szCs w:val="24"/>
              </w:rPr>
              <w:t xml:space="preserve"> </w:t>
            </w:r>
            <w:r w:rsidRPr="00DD0E5F">
              <w:rPr>
                <w:rFonts w:ascii="Times New Roman" w:hAnsi="Times New Roman" w:cs="Times New Roman"/>
                <w:sz w:val="24"/>
                <w:szCs w:val="24"/>
              </w:rPr>
              <w:t xml:space="preserve">takich samych </w:t>
            </w:r>
            <w:r w:rsidR="00563712" w:rsidRPr="00DD0E5F">
              <w:rPr>
                <w:rFonts w:ascii="Times New Roman" w:hAnsi="Times New Roman" w:cs="Times New Roman"/>
                <w:sz w:val="24"/>
                <w:szCs w:val="24"/>
              </w:rPr>
              <w:t xml:space="preserve">dowodów </w:t>
            </w:r>
            <w:r w:rsidR="00CB375E" w:rsidRPr="00DD0E5F">
              <w:rPr>
                <w:rFonts w:ascii="Times New Roman" w:hAnsi="Times New Roman" w:cs="Times New Roman"/>
                <w:sz w:val="24"/>
                <w:szCs w:val="24"/>
              </w:rPr>
              <w:t>wysłania i</w:t>
            </w:r>
            <w:r w:rsidR="00E10D97" w:rsidRPr="00DD0E5F">
              <w:rPr>
                <w:rFonts w:ascii="Times New Roman" w:hAnsi="Times New Roman" w:cs="Times New Roman"/>
                <w:sz w:val="24"/>
                <w:szCs w:val="24"/>
              </w:rPr>
              <w:t> </w:t>
            </w:r>
            <w:r w:rsidR="00CB375E" w:rsidRPr="00DD0E5F">
              <w:rPr>
                <w:rFonts w:ascii="Times New Roman" w:hAnsi="Times New Roman" w:cs="Times New Roman"/>
                <w:sz w:val="24"/>
                <w:szCs w:val="24"/>
              </w:rPr>
              <w:t>odebrania</w:t>
            </w:r>
            <w:r w:rsidR="00261461" w:rsidRPr="00DD0E5F">
              <w:rPr>
                <w:rFonts w:ascii="Times New Roman" w:hAnsi="Times New Roman" w:cs="Times New Roman"/>
                <w:sz w:val="24"/>
                <w:szCs w:val="24"/>
              </w:rPr>
              <w:t>,</w:t>
            </w:r>
            <w:r w:rsidR="00563712" w:rsidRPr="00DD0E5F">
              <w:rPr>
                <w:rFonts w:ascii="Times New Roman" w:hAnsi="Times New Roman" w:cs="Times New Roman"/>
                <w:sz w:val="24"/>
                <w:szCs w:val="24"/>
              </w:rPr>
              <w:t xml:space="preserve"> bez względu na strony doręczenia i rodzaj sprawy</w:t>
            </w:r>
            <w:r w:rsidR="007237D8" w:rsidRPr="00DD0E5F">
              <w:rPr>
                <w:rFonts w:ascii="Times New Roman" w:hAnsi="Times New Roman" w:cs="Times New Roman"/>
                <w:sz w:val="24"/>
                <w:szCs w:val="24"/>
              </w:rPr>
              <w:t>,</w:t>
            </w:r>
            <w:r w:rsidR="00563712" w:rsidRPr="00DD0E5F">
              <w:rPr>
                <w:rFonts w:ascii="Times New Roman" w:hAnsi="Times New Roman" w:cs="Times New Roman"/>
                <w:sz w:val="24"/>
                <w:szCs w:val="24"/>
              </w:rPr>
              <w:t xml:space="preserve"> </w:t>
            </w:r>
            <w:r w:rsidRPr="00DD0E5F">
              <w:rPr>
                <w:rFonts w:ascii="Times New Roman" w:hAnsi="Times New Roman" w:cs="Times New Roman"/>
                <w:sz w:val="24"/>
                <w:szCs w:val="24"/>
              </w:rPr>
              <w:t>p</w:t>
            </w:r>
            <w:r w:rsidR="00563712" w:rsidRPr="00DD0E5F">
              <w:rPr>
                <w:rFonts w:ascii="Times New Roman" w:hAnsi="Times New Roman" w:cs="Times New Roman"/>
                <w:sz w:val="24"/>
                <w:szCs w:val="24"/>
              </w:rPr>
              <w:t>ozwoli na implementację rozwiązania w</w:t>
            </w:r>
            <w:r w:rsidR="00D701EE" w:rsidRPr="00DD0E5F">
              <w:rPr>
                <w:rFonts w:ascii="Times New Roman" w:hAnsi="Times New Roman" w:cs="Times New Roman"/>
                <w:sz w:val="24"/>
                <w:szCs w:val="24"/>
              </w:rPr>
              <w:t> </w:t>
            </w:r>
            <w:r w:rsidR="00563712" w:rsidRPr="00DD0E5F">
              <w:rPr>
                <w:rFonts w:ascii="Times New Roman" w:hAnsi="Times New Roman" w:cs="Times New Roman"/>
                <w:sz w:val="24"/>
                <w:szCs w:val="24"/>
              </w:rPr>
              <w:t>każdym dziale administracji państwowej, samorządowej</w:t>
            </w:r>
            <w:r w:rsidR="00231EA4" w:rsidRPr="00DD0E5F">
              <w:rPr>
                <w:rFonts w:ascii="Times New Roman" w:hAnsi="Times New Roman" w:cs="Times New Roman"/>
                <w:sz w:val="24"/>
                <w:szCs w:val="24"/>
              </w:rPr>
              <w:t>, sądach</w:t>
            </w:r>
            <w:r w:rsidR="00563712" w:rsidRPr="00DD0E5F">
              <w:rPr>
                <w:rFonts w:ascii="Times New Roman" w:hAnsi="Times New Roman" w:cs="Times New Roman"/>
                <w:sz w:val="24"/>
                <w:szCs w:val="24"/>
              </w:rPr>
              <w:t xml:space="preserve"> oraz </w:t>
            </w:r>
            <w:r w:rsidR="00BA5870" w:rsidRPr="00DD0E5F">
              <w:rPr>
                <w:rFonts w:ascii="Times New Roman" w:hAnsi="Times New Roman" w:cs="Times New Roman"/>
                <w:sz w:val="24"/>
                <w:szCs w:val="24"/>
              </w:rPr>
              <w:t xml:space="preserve">w </w:t>
            </w:r>
            <w:r w:rsidR="00563712" w:rsidRPr="00DD0E5F">
              <w:rPr>
                <w:rFonts w:ascii="Times New Roman" w:hAnsi="Times New Roman" w:cs="Times New Roman"/>
                <w:sz w:val="24"/>
                <w:szCs w:val="24"/>
              </w:rPr>
              <w:t>sektorze gospodarki, w zależności od</w:t>
            </w:r>
            <w:r w:rsidR="00D701EE" w:rsidRPr="00DD0E5F">
              <w:rPr>
                <w:rFonts w:ascii="Times New Roman" w:hAnsi="Times New Roman" w:cs="Times New Roman"/>
                <w:sz w:val="24"/>
                <w:szCs w:val="24"/>
              </w:rPr>
              <w:t> </w:t>
            </w:r>
            <w:r w:rsidR="00563712" w:rsidRPr="00DD0E5F">
              <w:rPr>
                <w:rFonts w:ascii="Times New Roman" w:hAnsi="Times New Roman" w:cs="Times New Roman"/>
                <w:sz w:val="24"/>
                <w:szCs w:val="24"/>
              </w:rPr>
              <w:t>rodzących się potrzeb, przyczyniając się do obniżenia kosztów funkcjonowania oraz poprawy efektywności działania</w:t>
            </w:r>
            <w:r w:rsidR="00144CA4" w:rsidRPr="00DD0E5F">
              <w:rPr>
                <w:rFonts w:ascii="Times New Roman" w:hAnsi="Times New Roman" w:cs="Times New Roman"/>
                <w:sz w:val="24"/>
                <w:szCs w:val="24"/>
              </w:rPr>
              <w:t xml:space="preserve"> podmiotów publicznych i przedsiębiorstw</w:t>
            </w:r>
            <w:r w:rsidR="00563712" w:rsidRPr="00DD0E5F">
              <w:rPr>
                <w:rFonts w:ascii="Times New Roman" w:hAnsi="Times New Roman" w:cs="Times New Roman"/>
                <w:sz w:val="24"/>
                <w:szCs w:val="24"/>
              </w:rPr>
              <w:t>.</w:t>
            </w:r>
            <w:r w:rsidR="00D701EE" w:rsidRPr="00DD0E5F">
              <w:rPr>
                <w:rFonts w:ascii="Times New Roman" w:hAnsi="Times New Roman" w:cs="Times New Roman"/>
                <w:sz w:val="24"/>
                <w:szCs w:val="24"/>
              </w:rPr>
              <w:t xml:space="preserve"> </w:t>
            </w:r>
            <w:r w:rsidR="00D701EE" w:rsidRPr="00DD0E5F">
              <w:rPr>
                <w:rFonts w:ascii="Times New Roman" w:hAnsi="Times New Roman" w:cs="Times New Roman"/>
                <w:iCs/>
                <w:sz w:val="24"/>
                <w:szCs w:val="24"/>
              </w:rPr>
              <w:t xml:space="preserve">Proponowane rozwiązanie </w:t>
            </w:r>
            <w:r w:rsidR="00126D9B" w:rsidRPr="00DD0E5F">
              <w:rPr>
                <w:rFonts w:ascii="Times New Roman" w:hAnsi="Times New Roman" w:cs="Times New Roman"/>
                <w:iCs/>
                <w:sz w:val="24"/>
                <w:szCs w:val="24"/>
              </w:rPr>
              <w:t xml:space="preserve">zapewni również funkcjonowanie punktu dostępowego do usług rejestrowanego doręczenia w Polsce w celu umożliwienia transgranicznej wymiany danych w ramach kwalifikowanych usług rejestrowanego doręczenia elektronicznego z adresatami </w:t>
            </w:r>
            <w:r w:rsidR="00BA5870" w:rsidRPr="00DD0E5F">
              <w:rPr>
                <w:rFonts w:ascii="Times New Roman" w:hAnsi="Times New Roman" w:cs="Times New Roman"/>
                <w:iCs/>
                <w:sz w:val="24"/>
                <w:szCs w:val="24"/>
              </w:rPr>
              <w:t>z obszaru UE</w:t>
            </w:r>
            <w:r w:rsidR="00126D9B" w:rsidRPr="00DD0E5F">
              <w:rPr>
                <w:rFonts w:ascii="Times New Roman" w:hAnsi="Times New Roman" w:cs="Times New Roman"/>
                <w:iCs/>
                <w:sz w:val="24"/>
                <w:szCs w:val="24"/>
              </w:rPr>
              <w:t>.</w:t>
            </w:r>
            <w:r w:rsidR="00D701EE" w:rsidRPr="00DD0E5F">
              <w:rPr>
                <w:rFonts w:ascii="Times New Roman" w:hAnsi="Times New Roman" w:cs="Times New Roman"/>
                <w:iCs/>
                <w:sz w:val="24"/>
                <w:szCs w:val="24"/>
              </w:rPr>
              <w:t xml:space="preserve"> </w:t>
            </w:r>
            <w:r w:rsidR="00DB210A" w:rsidRPr="00DD0E5F">
              <w:rPr>
                <w:rFonts w:ascii="Times New Roman" w:hAnsi="Times New Roman" w:cs="Times New Roman"/>
                <w:sz w:val="24"/>
                <w:szCs w:val="24"/>
              </w:rPr>
              <w:t>U</w:t>
            </w:r>
            <w:r w:rsidR="00563712" w:rsidRPr="00DD0E5F">
              <w:rPr>
                <w:rFonts w:ascii="Times New Roman" w:hAnsi="Times New Roman" w:cs="Times New Roman"/>
                <w:sz w:val="24"/>
                <w:szCs w:val="24"/>
              </w:rPr>
              <w:t xml:space="preserve">jednolicenie zasad komunikacji </w:t>
            </w:r>
            <w:r w:rsidR="00484553" w:rsidRPr="00DD0E5F">
              <w:rPr>
                <w:rFonts w:ascii="Times New Roman" w:hAnsi="Times New Roman" w:cs="Times New Roman"/>
                <w:sz w:val="24"/>
                <w:szCs w:val="24"/>
              </w:rPr>
              <w:t xml:space="preserve">powinno również </w:t>
            </w:r>
            <w:r w:rsidR="00563712" w:rsidRPr="00DD0E5F">
              <w:rPr>
                <w:rFonts w:ascii="Times New Roman" w:hAnsi="Times New Roman" w:cs="Times New Roman"/>
                <w:sz w:val="24"/>
                <w:szCs w:val="24"/>
              </w:rPr>
              <w:t>zachęci</w:t>
            </w:r>
            <w:r w:rsidR="00484553" w:rsidRPr="00DD0E5F">
              <w:rPr>
                <w:rFonts w:ascii="Times New Roman" w:hAnsi="Times New Roman" w:cs="Times New Roman"/>
                <w:sz w:val="24"/>
                <w:szCs w:val="24"/>
              </w:rPr>
              <w:t>ć</w:t>
            </w:r>
            <w:r w:rsidR="00563712" w:rsidRPr="00DD0E5F">
              <w:rPr>
                <w:rFonts w:ascii="Times New Roman" w:hAnsi="Times New Roman" w:cs="Times New Roman"/>
                <w:sz w:val="24"/>
                <w:szCs w:val="24"/>
              </w:rPr>
              <w:t xml:space="preserve"> dostawców komercyjnych do</w:t>
            </w:r>
            <w:r w:rsidR="00D11715" w:rsidRPr="00DD0E5F">
              <w:rPr>
                <w:rFonts w:ascii="Times New Roman" w:hAnsi="Times New Roman" w:cs="Times New Roman"/>
                <w:sz w:val="24"/>
                <w:szCs w:val="24"/>
              </w:rPr>
              <w:t> </w:t>
            </w:r>
            <w:r w:rsidR="00563712" w:rsidRPr="00DD0E5F">
              <w:rPr>
                <w:rFonts w:ascii="Times New Roman" w:hAnsi="Times New Roman" w:cs="Times New Roman"/>
                <w:sz w:val="24"/>
                <w:szCs w:val="24"/>
              </w:rPr>
              <w:t>oferowania kwalifikowanej usługi doręczenia elektronicznego, co wychodzi naprzeciw wytycznym Strategii na rzecz Odpowiedzialnego Rozwoju, określającej konkurencyjność jako jeden z filarów nowego kierunku rozwoju polskiej gospodarki.</w:t>
            </w:r>
          </w:p>
          <w:p w14:paraId="274744E8" w14:textId="77777777" w:rsidR="00170255" w:rsidRPr="00DD0E5F" w:rsidRDefault="00170255"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lastRenderedPageBreak/>
              <w:t xml:space="preserve">W porozumieniu z właściwymi ministrami dokonany zostanie przegląd oraz nowelizacja aktów prawnych, w celu wskazania procedur, w których </w:t>
            </w:r>
            <w:r w:rsidR="00BA5870" w:rsidRPr="00DD0E5F">
              <w:rPr>
                <w:rFonts w:ascii="Times New Roman" w:hAnsi="Times New Roman" w:cs="Times New Roman"/>
                <w:sz w:val="24"/>
                <w:szCs w:val="24"/>
              </w:rPr>
              <w:t xml:space="preserve">elektronizacja doręczeń jest </w:t>
            </w:r>
            <w:r w:rsidRPr="00DD0E5F">
              <w:rPr>
                <w:rFonts w:ascii="Times New Roman" w:hAnsi="Times New Roman" w:cs="Times New Roman"/>
                <w:sz w:val="24"/>
                <w:szCs w:val="24"/>
              </w:rPr>
              <w:t>zasadn</w:t>
            </w:r>
            <w:r w:rsidR="00BA5870" w:rsidRPr="00DD0E5F">
              <w:rPr>
                <w:rFonts w:ascii="Times New Roman" w:hAnsi="Times New Roman" w:cs="Times New Roman"/>
                <w:sz w:val="24"/>
                <w:szCs w:val="24"/>
              </w:rPr>
              <w:t>a</w:t>
            </w:r>
            <w:r w:rsidRPr="00DD0E5F">
              <w:rPr>
                <w:rFonts w:ascii="Times New Roman" w:hAnsi="Times New Roman" w:cs="Times New Roman"/>
                <w:sz w:val="24"/>
                <w:szCs w:val="24"/>
              </w:rPr>
              <w:t>.</w:t>
            </w:r>
          </w:p>
          <w:p w14:paraId="391D6D6C" w14:textId="77777777" w:rsidR="00E76125" w:rsidRPr="00DD0E5F" w:rsidRDefault="00C26CA1"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Wprowadzenie nowych sposobów doręczeń</w:t>
            </w:r>
            <w:r w:rsidR="00261461" w:rsidRPr="00DD0E5F">
              <w:rPr>
                <w:rFonts w:ascii="Times New Roman" w:hAnsi="Times New Roman" w:cs="Times New Roman"/>
                <w:sz w:val="24"/>
                <w:szCs w:val="24"/>
              </w:rPr>
              <w:t>,</w:t>
            </w:r>
            <w:r w:rsidRPr="00DD0E5F">
              <w:rPr>
                <w:rFonts w:ascii="Times New Roman" w:hAnsi="Times New Roman" w:cs="Times New Roman"/>
                <w:sz w:val="24"/>
                <w:szCs w:val="24"/>
              </w:rPr>
              <w:t xml:space="preserve"> tj</w:t>
            </w:r>
            <w:r w:rsidR="00E76125" w:rsidRPr="00DD0E5F">
              <w:rPr>
                <w:rFonts w:ascii="Times New Roman" w:hAnsi="Times New Roman" w:cs="Times New Roman"/>
                <w:sz w:val="24"/>
                <w:szCs w:val="24"/>
              </w:rPr>
              <w:t>.</w:t>
            </w:r>
            <w:r w:rsidRPr="00DD0E5F">
              <w:rPr>
                <w:rFonts w:ascii="Times New Roman" w:hAnsi="Times New Roman" w:cs="Times New Roman"/>
                <w:sz w:val="24"/>
                <w:szCs w:val="24"/>
              </w:rPr>
              <w:t xml:space="preserve"> </w:t>
            </w:r>
            <w:r w:rsidR="00B533A4" w:rsidRPr="00DD0E5F">
              <w:rPr>
                <w:rFonts w:ascii="Times New Roman" w:hAnsi="Times New Roman" w:cs="Times New Roman"/>
                <w:sz w:val="24"/>
                <w:szCs w:val="24"/>
              </w:rPr>
              <w:t xml:space="preserve">publicznej </w:t>
            </w:r>
            <w:r w:rsidRPr="00DD0E5F">
              <w:rPr>
                <w:rFonts w:ascii="Times New Roman" w:hAnsi="Times New Roman" w:cs="Times New Roman"/>
                <w:sz w:val="24"/>
                <w:szCs w:val="24"/>
              </w:rPr>
              <w:t xml:space="preserve">usługi rejestrowanego </w:t>
            </w:r>
            <w:r w:rsidR="00B533A4" w:rsidRPr="00DD0E5F">
              <w:rPr>
                <w:rFonts w:ascii="Times New Roman" w:hAnsi="Times New Roman" w:cs="Times New Roman"/>
                <w:sz w:val="24"/>
                <w:szCs w:val="24"/>
              </w:rPr>
              <w:t xml:space="preserve">doręczenia elektronicznego oraz </w:t>
            </w:r>
            <w:r w:rsidRPr="00DD0E5F">
              <w:rPr>
                <w:rFonts w:ascii="Times New Roman" w:hAnsi="Times New Roman" w:cs="Times New Roman"/>
                <w:sz w:val="24"/>
                <w:szCs w:val="24"/>
              </w:rPr>
              <w:t>publicznej usługi hybrydowej</w:t>
            </w:r>
            <w:r w:rsidR="00E76125" w:rsidRPr="00DD0E5F">
              <w:rPr>
                <w:rFonts w:ascii="Times New Roman" w:hAnsi="Times New Roman" w:cs="Times New Roman"/>
                <w:sz w:val="24"/>
                <w:szCs w:val="24"/>
              </w:rPr>
              <w:t xml:space="preserve"> do powszechnego użycia będzie poprzedzone pilotażem, który pozwoli szczególnie podmiotom publicznym na dostosowanie się do nowego rozwiązania i</w:t>
            </w:r>
            <w:r w:rsidR="00261461" w:rsidRPr="00DD0E5F">
              <w:rPr>
                <w:rFonts w:ascii="Times New Roman" w:hAnsi="Times New Roman" w:cs="Times New Roman"/>
                <w:sz w:val="24"/>
                <w:szCs w:val="24"/>
              </w:rPr>
              <w:t> </w:t>
            </w:r>
            <w:r w:rsidR="00E76125" w:rsidRPr="00DD0E5F">
              <w:rPr>
                <w:rFonts w:ascii="Times New Roman" w:hAnsi="Times New Roman" w:cs="Times New Roman"/>
                <w:sz w:val="24"/>
                <w:szCs w:val="24"/>
              </w:rPr>
              <w:t>przetestowanie go.</w:t>
            </w:r>
            <w:r w:rsidR="00E441B4" w:rsidRPr="00DD0E5F">
              <w:rPr>
                <w:rFonts w:ascii="Times New Roman" w:hAnsi="Times New Roman" w:cs="Times New Roman"/>
                <w:sz w:val="24"/>
                <w:szCs w:val="24"/>
              </w:rPr>
              <w:t xml:space="preserve"> </w:t>
            </w:r>
            <w:r w:rsidR="00E76125" w:rsidRPr="00DD0E5F">
              <w:rPr>
                <w:rFonts w:ascii="Times New Roman" w:hAnsi="Times New Roman" w:cs="Times New Roman"/>
                <w:sz w:val="24"/>
                <w:szCs w:val="24"/>
              </w:rPr>
              <w:t>Ponadto planuje się objęcie wsparciem szkoleniowym pracowników podmiotów publicznych, będących reprezentantami poszczególnych jednostek i przez te jednostki wskazanych.</w:t>
            </w:r>
          </w:p>
          <w:p w14:paraId="38FB9FFA" w14:textId="77777777" w:rsidR="008B50A7" w:rsidRPr="00DD0E5F" w:rsidRDefault="001B58A8"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 xml:space="preserve">Kluczowym warunkiem skuteczności wdrożenia projektowanego rozwiązania jest zbudowanie zaufania obywateli </w:t>
            </w:r>
            <w:r w:rsidR="00261461" w:rsidRPr="00DD0E5F">
              <w:rPr>
                <w:rFonts w:ascii="Times New Roman" w:hAnsi="Times New Roman" w:cs="Times New Roman"/>
                <w:sz w:val="24"/>
                <w:szCs w:val="24"/>
              </w:rPr>
              <w:t xml:space="preserve">co </w:t>
            </w:r>
            <w:r w:rsidRPr="00DD0E5F">
              <w:rPr>
                <w:rFonts w:ascii="Times New Roman" w:hAnsi="Times New Roman" w:cs="Times New Roman"/>
                <w:sz w:val="24"/>
                <w:szCs w:val="24"/>
              </w:rPr>
              <w:t xml:space="preserve">do </w:t>
            </w:r>
            <w:r w:rsidR="00261461" w:rsidRPr="00DD0E5F">
              <w:rPr>
                <w:rFonts w:ascii="Times New Roman" w:hAnsi="Times New Roman" w:cs="Times New Roman"/>
                <w:sz w:val="24"/>
                <w:szCs w:val="24"/>
              </w:rPr>
              <w:t>jego skuteczności</w:t>
            </w:r>
            <w:r w:rsidRPr="00DD0E5F">
              <w:rPr>
                <w:rFonts w:ascii="Times New Roman" w:hAnsi="Times New Roman" w:cs="Times New Roman"/>
                <w:sz w:val="24"/>
                <w:szCs w:val="24"/>
              </w:rPr>
              <w:t xml:space="preserve">. </w:t>
            </w:r>
          </w:p>
          <w:p w14:paraId="15883FDB" w14:textId="5CCD7204" w:rsidR="001B58A8" w:rsidRPr="00DD0E5F" w:rsidRDefault="001B58A8" w:rsidP="00052A6C">
            <w:pPr>
              <w:spacing w:after="120"/>
              <w:ind w:left="63" w:right="159"/>
              <w:jc w:val="both"/>
              <w:rPr>
                <w:rFonts w:ascii="Times New Roman" w:hAnsi="Times New Roman" w:cs="Times New Roman"/>
                <w:sz w:val="24"/>
                <w:szCs w:val="24"/>
              </w:rPr>
            </w:pPr>
            <w:r w:rsidRPr="00DD0E5F">
              <w:rPr>
                <w:rFonts w:ascii="Times New Roman" w:hAnsi="Times New Roman" w:cs="Times New Roman"/>
                <w:sz w:val="24"/>
                <w:szCs w:val="24"/>
              </w:rPr>
              <w:t>Zostanie przeprowadzona kampania informacyjno-promocyjna wskazująca na korzyści wynikające z</w:t>
            </w:r>
            <w:r w:rsidR="00277F6C">
              <w:rPr>
                <w:rFonts w:ascii="Times New Roman" w:hAnsi="Times New Roman" w:cs="Times New Roman"/>
                <w:sz w:val="24"/>
                <w:szCs w:val="24"/>
              </w:rPr>
              <w:t> </w:t>
            </w:r>
            <w:r w:rsidRPr="00DD0E5F">
              <w:rPr>
                <w:rFonts w:ascii="Times New Roman" w:hAnsi="Times New Roman" w:cs="Times New Roman"/>
                <w:sz w:val="24"/>
                <w:szCs w:val="24"/>
              </w:rPr>
              <w:t xml:space="preserve">wpisania adresu </w:t>
            </w:r>
            <w:r w:rsidR="00261461" w:rsidRPr="00DD0E5F">
              <w:rPr>
                <w:rFonts w:ascii="Times New Roman" w:hAnsi="Times New Roman" w:cs="Times New Roman"/>
                <w:sz w:val="24"/>
                <w:szCs w:val="24"/>
              </w:rPr>
              <w:t>do doręczeń elektronicznych</w:t>
            </w:r>
            <w:r w:rsidRPr="00DD0E5F">
              <w:rPr>
                <w:rFonts w:ascii="Times New Roman" w:hAnsi="Times New Roman" w:cs="Times New Roman"/>
                <w:sz w:val="24"/>
                <w:szCs w:val="24"/>
              </w:rPr>
              <w:t xml:space="preserve"> do </w:t>
            </w:r>
            <w:r w:rsidR="007D078D" w:rsidRPr="00DD0E5F">
              <w:rPr>
                <w:rFonts w:ascii="Times New Roman" w:hAnsi="Times New Roman" w:cs="Times New Roman"/>
                <w:sz w:val="24"/>
                <w:szCs w:val="24"/>
              </w:rPr>
              <w:t>B</w:t>
            </w:r>
            <w:r w:rsidRPr="00DD0E5F">
              <w:rPr>
                <w:rFonts w:ascii="Times New Roman" w:hAnsi="Times New Roman" w:cs="Times New Roman"/>
                <w:sz w:val="24"/>
                <w:szCs w:val="24"/>
              </w:rPr>
              <w:t xml:space="preserve">azy </w:t>
            </w:r>
            <w:r w:rsidR="007D078D" w:rsidRPr="00DD0E5F">
              <w:rPr>
                <w:rFonts w:ascii="Times New Roman" w:hAnsi="Times New Roman" w:cs="Times New Roman"/>
                <w:sz w:val="24"/>
                <w:szCs w:val="24"/>
              </w:rPr>
              <w:t>A</w:t>
            </w:r>
            <w:r w:rsidRPr="00DD0E5F">
              <w:rPr>
                <w:rFonts w:ascii="Times New Roman" w:hAnsi="Times New Roman" w:cs="Times New Roman"/>
                <w:sz w:val="24"/>
                <w:szCs w:val="24"/>
              </w:rPr>
              <w:t xml:space="preserve">dresów </w:t>
            </w:r>
            <w:r w:rsidR="007D078D" w:rsidRPr="00DD0E5F">
              <w:rPr>
                <w:rFonts w:ascii="Times New Roman" w:hAnsi="Times New Roman" w:cs="Times New Roman"/>
                <w:sz w:val="24"/>
                <w:szCs w:val="24"/>
              </w:rPr>
              <w:t>E</w:t>
            </w:r>
            <w:r w:rsidRPr="00DD0E5F">
              <w:rPr>
                <w:rFonts w:ascii="Times New Roman" w:hAnsi="Times New Roman" w:cs="Times New Roman"/>
                <w:sz w:val="24"/>
                <w:szCs w:val="24"/>
              </w:rPr>
              <w:t>lektronicznych, w tym szereg nowych możliwości w porównaniu z dotychczasowym kontem i skrzynką na ePUAP oraz skrzynkami w innych systemach.</w:t>
            </w:r>
            <w:r w:rsidR="007D078D" w:rsidRPr="00DD0E5F">
              <w:rPr>
                <w:rFonts w:ascii="Times New Roman" w:hAnsi="Times New Roman" w:cs="Times New Roman"/>
                <w:sz w:val="24"/>
                <w:szCs w:val="24"/>
              </w:rPr>
              <w:t xml:space="preserve"> Dla uzyskania jak najszerszej skali działania usługi rejestrowanego doręczenia elektronicznego, szczególnie w kontaktach z podmiotami publicznymi, planowane będzie poszerzenie świadomości w zakresie możliwości korzystania z technologii cyfrowych i</w:t>
            </w:r>
            <w:r w:rsidR="00407DD6" w:rsidRPr="00DD0E5F">
              <w:rPr>
                <w:rFonts w:ascii="Times New Roman" w:hAnsi="Times New Roman" w:cs="Times New Roman"/>
                <w:sz w:val="24"/>
                <w:szCs w:val="24"/>
              </w:rPr>
              <w:t> </w:t>
            </w:r>
            <w:r w:rsidR="007D078D" w:rsidRPr="00DD0E5F">
              <w:rPr>
                <w:rFonts w:ascii="Times New Roman" w:hAnsi="Times New Roman" w:cs="Times New Roman"/>
                <w:sz w:val="24"/>
                <w:szCs w:val="24"/>
              </w:rPr>
              <w:t>zbudowanie zaufania społeczeństwa do tej formy komunikacji. Informacje kierowane do odbiorców będą ponadto podkreślały bezpieczeństwo usługi i</w:t>
            </w:r>
            <w:r w:rsidR="00277F6C">
              <w:rPr>
                <w:rFonts w:ascii="Times New Roman" w:hAnsi="Times New Roman" w:cs="Times New Roman"/>
                <w:sz w:val="24"/>
                <w:szCs w:val="24"/>
              </w:rPr>
              <w:t> </w:t>
            </w:r>
            <w:r w:rsidR="007D078D" w:rsidRPr="00DD0E5F">
              <w:rPr>
                <w:rFonts w:ascii="Times New Roman" w:hAnsi="Times New Roman" w:cs="Times New Roman"/>
                <w:sz w:val="24"/>
                <w:szCs w:val="24"/>
              </w:rPr>
              <w:t xml:space="preserve">możliwość załatwiania </w:t>
            </w:r>
            <w:r w:rsidR="00BA5870" w:rsidRPr="00DD0E5F">
              <w:rPr>
                <w:rFonts w:ascii="Times New Roman" w:hAnsi="Times New Roman" w:cs="Times New Roman"/>
                <w:sz w:val="24"/>
                <w:szCs w:val="24"/>
              </w:rPr>
              <w:t xml:space="preserve">większości </w:t>
            </w:r>
            <w:r w:rsidR="007D078D" w:rsidRPr="00DD0E5F">
              <w:rPr>
                <w:rFonts w:ascii="Times New Roman" w:hAnsi="Times New Roman" w:cs="Times New Roman"/>
                <w:sz w:val="24"/>
                <w:szCs w:val="24"/>
              </w:rPr>
              <w:t>spraw urzędowych drogą elektroniczną.</w:t>
            </w:r>
            <w:r w:rsidR="00B878C7" w:rsidRPr="00DD0E5F">
              <w:rPr>
                <w:rFonts w:ascii="Times New Roman" w:hAnsi="Times New Roman" w:cs="Times New Roman"/>
                <w:sz w:val="24"/>
                <w:szCs w:val="24"/>
              </w:rPr>
              <w:t xml:space="preserve"> Przedstawiany będzie również sposób korzystania z publicznej usługi hybrydowej.</w:t>
            </w:r>
          </w:p>
          <w:p w14:paraId="3E41B6E1" w14:textId="222C8ED5" w:rsidR="003C00E9" w:rsidRPr="008C7038" w:rsidRDefault="001B58A8" w:rsidP="00052A6C">
            <w:pPr>
              <w:spacing w:after="120"/>
              <w:ind w:left="63" w:right="159"/>
              <w:jc w:val="both"/>
              <w:rPr>
                <w:rFonts w:ascii="Times New Roman" w:hAnsi="Times New Roman" w:cs="Times New Roman"/>
                <w:spacing w:val="-2"/>
                <w:sz w:val="24"/>
                <w:szCs w:val="24"/>
              </w:rPr>
            </w:pPr>
            <w:r w:rsidRPr="00DD0E5F">
              <w:rPr>
                <w:rFonts w:ascii="Times New Roman" w:hAnsi="Times New Roman" w:cs="Times New Roman"/>
                <w:sz w:val="24"/>
                <w:szCs w:val="24"/>
              </w:rPr>
              <w:t xml:space="preserve">Zakres działań promocyjnych będzie zależny od ostatecznego kształtu przepisów umocowujących rejestrowane doręczenia elektroniczne w postępowaniu administracyjnym, podatkowym, sądowoadministracyjnym, cywilnym, a także </w:t>
            </w:r>
            <w:r w:rsidR="00BA5870" w:rsidRPr="00DD0E5F">
              <w:rPr>
                <w:rFonts w:ascii="Times New Roman" w:hAnsi="Times New Roman" w:cs="Times New Roman"/>
                <w:sz w:val="24"/>
                <w:szCs w:val="24"/>
              </w:rPr>
              <w:t xml:space="preserve">przepisów stanowiących </w:t>
            </w:r>
            <w:r w:rsidRPr="00DD0E5F">
              <w:rPr>
                <w:rFonts w:ascii="Times New Roman" w:hAnsi="Times New Roman" w:cs="Times New Roman"/>
                <w:sz w:val="24"/>
                <w:szCs w:val="24"/>
              </w:rPr>
              <w:t xml:space="preserve">wyjątki od ogólnych zasad doręczania </w:t>
            </w:r>
            <w:r w:rsidR="00BA5870" w:rsidRPr="00DD0E5F">
              <w:rPr>
                <w:rFonts w:ascii="Times New Roman" w:hAnsi="Times New Roman" w:cs="Times New Roman"/>
                <w:sz w:val="24"/>
                <w:szCs w:val="24"/>
              </w:rPr>
              <w:t>wykluczających elektronizację doręczeń</w:t>
            </w:r>
            <w:r w:rsidRPr="00DD0E5F">
              <w:rPr>
                <w:rFonts w:ascii="Times New Roman" w:hAnsi="Times New Roman" w:cs="Times New Roman"/>
                <w:sz w:val="24"/>
                <w:szCs w:val="24"/>
              </w:rPr>
              <w:t>.</w:t>
            </w:r>
          </w:p>
        </w:tc>
      </w:tr>
      <w:tr w:rsidR="006A701A" w:rsidRPr="008C7038" w14:paraId="0C616C32" w14:textId="77777777" w:rsidTr="008C7038">
        <w:trPr>
          <w:trHeight w:val="307"/>
        </w:trPr>
        <w:tc>
          <w:tcPr>
            <w:tcW w:w="10832" w:type="dxa"/>
            <w:gridSpan w:val="2"/>
            <w:shd w:val="clear" w:color="auto" w:fill="99CCFF"/>
            <w:vAlign w:val="center"/>
          </w:tcPr>
          <w:p w14:paraId="11AF47C8" w14:textId="77777777" w:rsidR="006A701A" w:rsidRPr="008C7038" w:rsidRDefault="009E3C4B"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pacing w:val="-2"/>
                <w:sz w:val="24"/>
                <w:szCs w:val="24"/>
              </w:rPr>
              <w:lastRenderedPageBreak/>
              <w:t>Jak problem został rozwiązany w innych krajach, w szczególności krajach członkowskich OECD/UE</w:t>
            </w:r>
            <w:r w:rsidR="006A701A" w:rsidRPr="008C7038">
              <w:rPr>
                <w:rFonts w:ascii="Times New Roman" w:hAnsi="Times New Roman" w:cs="Times New Roman"/>
                <w:b/>
                <w:sz w:val="24"/>
                <w:szCs w:val="24"/>
              </w:rPr>
              <w:t>?</w:t>
            </w:r>
            <w:r w:rsidR="006A701A" w:rsidRPr="008C7038">
              <w:rPr>
                <w:rFonts w:ascii="Times New Roman" w:hAnsi="Times New Roman" w:cs="Times New Roman"/>
                <w:i/>
                <w:sz w:val="24"/>
                <w:szCs w:val="24"/>
              </w:rPr>
              <w:t xml:space="preserve"> </w:t>
            </w:r>
          </w:p>
        </w:tc>
      </w:tr>
      <w:tr w:rsidR="006A701A" w:rsidRPr="008C7038" w14:paraId="04506E68" w14:textId="77777777" w:rsidTr="008C7038">
        <w:trPr>
          <w:trHeight w:val="142"/>
        </w:trPr>
        <w:tc>
          <w:tcPr>
            <w:tcW w:w="10832" w:type="dxa"/>
            <w:gridSpan w:val="2"/>
            <w:shd w:val="clear" w:color="auto" w:fill="auto"/>
          </w:tcPr>
          <w:p w14:paraId="108077E8" w14:textId="062F1BCD" w:rsidR="005F20C1" w:rsidRPr="008C7038" w:rsidRDefault="005F6219" w:rsidP="00052A6C">
            <w:pPr>
              <w:spacing w:after="120"/>
              <w:ind w:left="63"/>
              <w:jc w:val="both"/>
              <w:rPr>
                <w:rFonts w:ascii="Times New Roman" w:hAnsi="Times New Roman" w:cs="Times New Roman"/>
                <w:sz w:val="24"/>
                <w:szCs w:val="24"/>
              </w:rPr>
            </w:pPr>
            <w:r w:rsidRPr="008C7038">
              <w:rPr>
                <w:rFonts w:ascii="Times New Roman" w:hAnsi="Times New Roman" w:cs="Times New Roman"/>
                <w:sz w:val="24"/>
                <w:szCs w:val="24"/>
              </w:rPr>
              <w:t xml:space="preserve">W </w:t>
            </w:r>
            <w:r w:rsidR="004B513B" w:rsidRPr="008C7038">
              <w:rPr>
                <w:rFonts w:ascii="Times New Roman" w:hAnsi="Times New Roman" w:cs="Times New Roman"/>
                <w:sz w:val="24"/>
                <w:szCs w:val="24"/>
              </w:rPr>
              <w:t>w</w:t>
            </w:r>
            <w:r w:rsidR="00DB210A" w:rsidRPr="008C7038">
              <w:rPr>
                <w:rFonts w:ascii="Times New Roman" w:hAnsi="Times New Roman" w:cs="Times New Roman"/>
                <w:sz w:val="24"/>
                <w:szCs w:val="24"/>
              </w:rPr>
              <w:t>ielu</w:t>
            </w:r>
            <w:r w:rsidR="004B513B" w:rsidRPr="008C7038">
              <w:rPr>
                <w:rFonts w:ascii="Times New Roman" w:hAnsi="Times New Roman" w:cs="Times New Roman"/>
                <w:sz w:val="24"/>
                <w:szCs w:val="24"/>
              </w:rPr>
              <w:t xml:space="preserve"> </w:t>
            </w:r>
            <w:r w:rsidRPr="008C7038">
              <w:rPr>
                <w:rFonts w:ascii="Times New Roman" w:hAnsi="Times New Roman" w:cs="Times New Roman"/>
                <w:sz w:val="24"/>
                <w:szCs w:val="24"/>
              </w:rPr>
              <w:t>krajach UE wprowadzono rejestrowane doręczeni</w:t>
            </w:r>
            <w:r w:rsidR="00144CA4" w:rsidRPr="008C7038">
              <w:rPr>
                <w:rFonts w:ascii="Times New Roman" w:hAnsi="Times New Roman" w:cs="Times New Roman"/>
                <w:sz w:val="24"/>
                <w:szCs w:val="24"/>
              </w:rPr>
              <w:t>e</w:t>
            </w:r>
            <w:r w:rsidRPr="008C7038">
              <w:rPr>
                <w:rFonts w:ascii="Times New Roman" w:hAnsi="Times New Roman" w:cs="Times New Roman"/>
                <w:sz w:val="24"/>
                <w:szCs w:val="24"/>
              </w:rPr>
              <w:t xml:space="preserve"> elektroniczne</w:t>
            </w:r>
            <w:r w:rsidR="00871B33" w:rsidRPr="008C7038">
              <w:rPr>
                <w:rFonts w:ascii="Times New Roman" w:hAnsi="Times New Roman" w:cs="Times New Roman"/>
                <w:sz w:val="24"/>
                <w:szCs w:val="24"/>
              </w:rPr>
              <w:t>, zapewniając jego umocowanie prawne</w:t>
            </w:r>
            <w:r w:rsidR="00DB210A" w:rsidRPr="008C7038">
              <w:rPr>
                <w:rFonts w:ascii="Times New Roman" w:hAnsi="Times New Roman" w:cs="Times New Roman"/>
                <w:sz w:val="24"/>
                <w:szCs w:val="24"/>
              </w:rPr>
              <w:t xml:space="preserve">. </w:t>
            </w:r>
            <w:r w:rsidR="00651BEA" w:rsidRPr="008C7038">
              <w:rPr>
                <w:rFonts w:ascii="Times New Roman" w:hAnsi="Times New Roman" w:cs="Times New Roman"/>
                <w:sz w:val="24"/>
                <w:szCs w:val="24"/>
              </w:rPr>
              <w:t>Usługa e-Doręczenia</w:t>
            </w:r>
            <w:r w:rsidR="00115B85" w:rsidRPr="008C7038">
              <w:rPr>
                <w:rFonts w:ascii="Times New Roman" w:hAnsi="Times New Roman" w:cs="Times New Roman"/>
                <w:sz w:val="24"/>
                <w:szCs w:val="24"/>
              </w:rPr>
              <w:t>,</w:t>
            </w:r>
            <w:r w:rsidR="00651BEA" w:rsidRPr="008C7038">
              <w:rPr>
                <w:rFonts w:ascii="Times New Roman" w:hAnsi="Times New Roman" w:cs="Times New Roman"/>
                <w:sz w:val="24"/>
                <w:szCs w:val="24"/>
              </w:rPr>
              <w:t xml:space="preserve"> w ramach które</w:t>
            </w:r>
            <w:r w:rsidR="00DB210A" w:rsidRPr="008C7038">
              <w:rPr>
                <w:rFonts w:ascii="Times New Roman" w:hAnsi="Times New Roman" w:cs="Times New Roman"/>
                <w:sz w:val="24"/>
                <w:szCs w:val="24"/>
              </w:rPr>
              <w:t>j</w:t>
            </w:r>
            <w:r w:rsidR="00651BEA" w:rsidRPr="008C7038">
              <w:rPr>
                <w:rFonts w:ascii="Times New Roman" w:hAnsi="Times New Roman" w:cs="Times New Roman"/>
                <w:sz w:val="24"/>
                <w:szCs w:val="24"/>
              </w:rPr>
              <w:t xml:space="preserve"> realizowana jest </w:t>
            </w:r>
            <w:r w:rsidR="00115B85" w:rsidRPr="008C7038">
              <w:rPr>
                <w:rFonts w:ascii="Times New Roman" w:hAnsi="Times New Roman" w:cs="Times New Roman"/>
                <w:sz w:val="24"/>
                <w:szCs w:val="24"/>
              </w:rPr>
              <w:t xml:space="preserve">m.in. </w:t>
            </w:r>
            <w:r w:rsidR="00DB210A" w:rsidRPr="008C7038">
              <w:rPr>
                <w:rFonts w:ascii="Times New Roman" w:hAnsi="Times New Roman" w:cs="Times New Roman"/>
                <w:sz w:val="24"/>
                <w:szCs w:val="24"/>
              </w:rPr>
              <w:t>przesyłka</w:t>
            </w:r>
            <w:r w:rsidR="00651BEA" w:rsidRPr="008C7038">
              <w:rPr>
                <w:rFonts w:ascii="Times New Roman" w:hAnsi="Times New Roman" w:cs="Times New Roman"/>
                <w:sz w:val="24"/>
                <w:szCs w:val="24"/>
              </w:rPr>
              <w:t xml:space="preserve"> hybrydowa, świadczona</w:t>
            </w:r>
            <w:r w:rsidR="0042567A" w:rsidRPr="008C7038">
              <w:rPr>
                <w:rFonts w:ascii="Times New Roman" w:hAnsi="Times New Roman" w:cs="Times New Roman"/>
                <w:sz w:val="24"/>
                <w:szCs w:val="24"/>
              </w:rPr>
              <w:t xml:space="preserve"> jest</w:t>
            </w:r>
            <w:r w:rsidR="00EA0C22" w:rsidRPr="008C7038">
              <w:rPr>
                <w:rFonts w:ascii="Times New Roman" w:hAnsi="Times New Roman" w:cs="Times New Roman"/>
                <w:sz w:val="24"/>
                <w:szCs w:val="24"/>
              </w:rPr>
              <w:t xml:space="preserve"> </w:t>
            </w:r>
            <w:r w:rsidR="00115B85" w:rsidRPr="008C7038">
              <w:rPr>
                <w:rFonts w:ascii="Times New Roman" w:hAnsi="Times New Roman" w:cs="Times New Roman"/>
                <w:sz w:val="24"/>
                <w:szCs w:val="24"/>
              </w:rPr>
              <w:t xml:space="preserve">m.in. we </w:t>
            </w:r>
            <w:r w:rsidR="00EA0C22" w:rsidRPr="008C7038">
              <w:rPr>
                <w:rFonts w:ascii="Times New Roman" w:hAnsi="Times New Roman" w:cs="Times New Roman"/>
                <w:sz w:val="24"/>
                <w:szCs w:val="24"/>
              </w:rPr>
              <w:t>Francj</w:t>
            </w:r>
            <w:r w:rsidR="00115B85" w:rsidRPr="008C7038">
              <w:rPr>
                <w:rFonts w:ascii="Times New Roman" w:hAnsi="Times New Roman" w:cs="Times New Roman"/>
                <w:sz w:val="24"/>
                <w:szCs w:val="24"/>
              </w:rPr>
              <w:t>i</w:t>
            </w:r>
            <w:r w:rsidR="00EA0C22" w:rsidRPr="008C7038">
              <w:rPr>
                <w:rFonts w:ascii="Times New Roman" w:hAnsi="Times New Roman" w:cs="Times New Roman"/>
                <w:sz w:val="24"/>
                <w:szCs w:val="24"/>
              </w:rPr>
              <w:t>, Czech</w:t>
            </w:r>
            <w:r w:rsidR="00115B85" w:rsidRPr="008C7038">
              <w:rPr>
                <w:rFonts w:ascii="Times New Roman" w:hAnsi="Times New Roman" w:cs="Times New Roman"/>
                <w:sz w:val="24"/>
                <w:szCs w:val="24"/>
              </w:rPr>
              <w:t>ach</w:t>
            </w:r>
            <w:r w:rsidR="00EA0C22" w:rsidRPr="008C7038">
              <w:rPr>
                <w:rFonts w:ascii="Times New Roman" w:hAnsi="Times New Roman" w:cs="Times New Roman"/>
                <w:sz w:val="24"/>
                <w:szCs w:val="24"/>
              </w:rPr>
              <w:t xml:space="preserve"> i Niemc</w:t>
            </w:r>
            <w:r w:rsidR="00115B85" w:rsidRPr="008C7038">
              <w:rPr>
                <w:rFonts w:ascii="Times New Roman" w:hAnsi="Times New Roman" w:cs="Times New Roman"/>
                <w:sz w:val="24"/>
                <w:szCs w:val="24"/>
              </w:rPr>
              <w:t>zech</w:t>
            </w:r>
            <w:r w:rsidR="00F30E4C" w:rsidRPr="008C7038">
              <w:rPr>
                <w:rFonts w:ascii="Times New Roman" w:hAnsi="Times New Roman" w:cs="Times New Roman"/>
                <w:sz w:val="24"/>
                <w:szCs w:val="24"/>
              </w:rPr>
              <w:t xml:space="preserve"> (w Czechach usługa hybrydowa przewiduje zarówno przetwarzanie informacji cyfrowej w tradycyjną przesyłkę pocztową, jak i cyfryzację przesyłki nadanej w postaci analogowej)</w:t>
            </w:r>
            <w:r w:rsidR="00EA0C22" w:rsidRPr="008C7038">
              <w:rPr>
                <w:rFonts w:ascii="Times New Roman" w:hAnsi="Times New Roman" w:cs="Times New Roman"/>
                <w:sz w:val="24"/>
                <w:szCs w:val="24"/>
              </w:rPr>
              <w:t xml:space="preserve">. </w:t>
            </w:r>
            <w:r w:rsidR="00E441B4" w:rsidRPr="008C7038">
              <w:rPr>
                <w:rFonts w:ascii="Times New Roman" w:hAnsi="Times New Roman" w:cs="Times New Roman"/>
                <w:sz w:val="24"/>
                <w:szCs w:val="24"/>
              </w:rPr>
              <w:t>We Włoszech usługa e-Doręczenia realizowana jest w oparciu o bazę adresów elektronicznych</w:t>
            </w:r>
            <w:r w:rsidR="0042567A" w:rsidRPr="008C7038">
              <w:rPr>
                <w:rFonts w:ascii="Times New Roman" w:hAnsi="Times New Roman" w:cs="Times New Roman"/>
                <w:sz w:val="24"/>
                <w:szCs w:val="24"/>
              </w:rPr>
              <w:t>,</w:t>
            </w:r>
            <w:r w:rsidR="00E441B4" w:rsidRPr="008C7038">
              <w:rPr>
                <w:rFonts w:ascii="Times New Roman" w:hAnsi="Times New Roman" w:cs="Times New Roman"/>
                <w:sz w:val="24"/>
                <w:szCs w:val="24"/>
              </w:rPr>
              <w:t xml:space="preserve"> tzw. IPA, która jest udostępnion</w:t>
            </w:r>
            <w:r w:rsidR="0042567A" w:rsidRPr="008C7038">
              <w:rPr>
                <w:rFonts w:ascii="Times New Roman" w:hAnsi="Times New Roman" w:cs="Times New Roman"/>
                <w:sz w:val="24"/>
                <w:szCs w:val="24"/>
              </w:rPr>
              <w:t>a</w:t>
            </w:r>
            <w:r w:rsidR="00E441B4" w:rsidRPr="008C7038">
              <w:rPr>
                <w:rFonts w:ascii="Times New Roman" w:hAnsi="Times New Roman" w:cs="Times New Roman"/>
                <w:sz w:val="24"/>
                <w:szCs w:val="24"/>
              </w:rPr>
              <w:t xml:space="preserve"> w dwóch wymiarach: publicznym (otwartym) i administracyjnym (zastrzeżonym). </w:t>
            </w:r>
            <w:r w:rsidR="00BA5870" w:rsidRPr="008C7038">
              <w:rPr>
                <w:rFonts w:ascii="Times New Roman" w:hAnsi="Times New Roman" w:cs="Times New Roman"/>
                <w:sz w:val="24"/>
                <w:szCs w:val="24"/>
              </w:rPr>
              <w:t xml:space="preserve">Jednocześnie wraz </w:t>
            </w:r>
            <w:r w:rsidR="007C50C4" w:rsidRPr="008C7038">
              <w:rPr>
                <w:rFonts w:ascii="Times New Roman" w:hAnsi="Times New Roman" w:cs="Times New Roman"/>
                <w:sz w:val="24"/>
                <w:szCs w:val="24"/>
              </w:rPr>
              <w:t xml:space="preserve">z </w:t>
            </w:r>
            <w:r w:rsidR="00BA5870" w:rsidRPr="008C7038">
              <w:rPr>
                <w:rFonts w:ascii="Times New Roman" w:hAnsi="Times New Roman" w:cs="Times New Roman"/>
                <w:sz w:val="24"/>
                <w:szCs w:val="24"/>
              </w:rPr>
              <w:t>utwo</w:t>
            </w:r>
            <w:r w:rsidR="00E441B4" w:rsidRPr="008C7038">
              <w:rPr>
                <w:rFonts w:ascii="Times New Roman" w:hAnsi="Times New Roman" w:cs="Times New Roman"/>
                <w:sz w:val="24"/>
                <w:szCs w:val="24"/>
              </w:rPr>
              <w:t>r</w:t>
            </w:r>
            <w:r w:rsidR="00BA5870" w:rsidRPr="008C7038">
              <w:rPr>
                <w:rFonts w:ascii="Times New Roman" w:hAnsi="Times New Roman" w:cs="Times New Roman"/>
                <w:sz w:val="24"/>
                <w:szCs w:val="24"/>
              </w:rPr>
              <w:t>zeniem r</w:t>
            </w:r>
            <w:r w:rsidR="00E441B4" w:rsidRPr="008C7038">
              <w:rPr>
                <w:rFonts w:ascii="Times New Roman" w:hAnsi="Times New Roman" w:cs="Times New Roman"/>
                <w:sz w:val="24"/>
                <w:szCs w:val="24"/>
              </w:rPr>
              <w:t>ejestru</w:t>
            </w:r>
            <w:r w:rsidR="0042567A" w:rsidRPr="008C7038">
              <w:rPr>
                <w:rFonts w:ascii="Times New Roman" w:hAnsi="Times New Roman" w:cs="Times New Roman"/>
                <w:sz w:val="24"/>
                <w:szCs w:val="24"/>
              </w:rPr>
              <w:t>,</w:t>
            </w:r>
            <w:r w:rsidR="00E441B4" w:rsidRPr="008C7038">
              <w:rPr>
                <w:rFonts w:ascii="Times New Roman" w:hAnsi="Times New Roman" w:cs="Times New Roman"/>
                <w:sz w:val="24"/>
                <w:szCs w:val="24"/>
              </w:rPr>
              <w:t xml:space="preserve"> w który wpisuje się m.in. adresy do doręczeń </w:t>
            </w:r>
            <w:r w:rsidR="00BA5870" w:rsidRPr="008C7038">
              <w:rPr>
                <w:rFonts w:ascii="Times New Roman" w:hAnsi="Times New Roman" w:cs="Times New Roman"/>
                <w:sz w:val="24"/>
                <w:szCs w:val="24"/>
              </w:rPr>
              <w:t xml:space="preserve">elektronicznych </w:t>
            </w:r>
            <w:r w:rsidR="00E441B4" w:rsidRPr="008C7038">
              <w:rPr>
                <w:rFonts w:ascii="Times New Roman" w:hAnsi="Times New Roman" w:cs="Times New Roman"/>
                <w:sz w:val="24"/>
                <w:szCs w:val="24"/>
              </w:rPr>
              <w:t>służąc</w:t>
            </w:r>
            <w:r w:rsidR="00BA5870" w:rsidRPr="008C7038">
              <w:rPr>
                <w:rFonts w:ascii="Times New Roman" w:hAnsi="Times New Roman" w:cs="Times New Roman"/>
                <w:sz w:val="24"/>
                <w:szCs w:val="24"/>
              </w:rPr>
              <w:t>e</w:t>
            </w:r>
            <w:r w:rsidR="00E441B4" w:rsidRPr="008C7038">
              <w:rPr>
                <w:rFonts w:ascii="Times New Roman" w:hAnsi="Times New Roman" w:cs="Times New Roman"/>
                <w:sz w:val="24"/>
                <w:szCs w:val="24"/>
              </w:rPr>
              <w:t xml:space="preserve"> do celów komunikacji i wymiany informacji oraz przesyłania dokumentów o mocy prawnej</w:t>
            </w:r>
            <w:r w:rsidR="008B50A7" w:rsidRPr="008C7038">
              <w:rPr>
                <w:rFonts w:ascii="Times New Roman" w:hAnsi="Times New Roman" w:cs="Times New Roman"/>
                <w:sz w:val="24"/>
                <w:szCs w:val="24"/>
              </w:rPr>
              <w:t>,</w:t>
            </w:r>
            <w:r w:rsidR="0042567A" w:rsidRPr="008C7038">
              <w:rPr>
                <w:rFonts w:ascii="Times New Roman" w:hAnsi="Times New Roman" w:cs="Times New Roman"/>
                <w:sz w:val="24"/>
                <w:szCs w:val="24"/>
              </w:rPr>
              <w:t xml:space="preserve"> t</w:t>
            </w:r>
            <w:r w:rsidR="00E441B4" w:rsidRPr="008C7038">
              <w:rPr>
                <w:rFonts w:ascii="Times New Roman" w:hAnsi="Times New Roman" w:cs="Times New Roman"/>
                <w:sz w:val="24"/>
                <w:szCs w:val="24"/>
              </w:rPr>
              <w:t>worzony jest rejestr podmiotów administracji</w:t>
            </w:r>
            <w:r w:rsidR="00E441B4" w:rsidRPr="008C7038">
              <w:rPr>
                <w:rFonts w:ascii="Times New Roman" w:hAnsi="Times New Roman" w:cs="Times New Roman"/>
                <w:color w:val="1F497D"/>
                <w:sz w:val="24"/>
                <w:szCs w:val="24"/>
              </w:rPr>
              <w:t xml:space="preserve">. </w:t>
            </w:r>
            <w:r w:rsidR="00E441B4" w:rsidRPr="008C7038">
              <w:rPr>
                <w:rFonts w:ascii="Times New Roman" w:hAnsi="Times New Roman" w:cs="Times New Roman"/>
                <w:sz w:val="24"/>
                <w:szCs w:val="24"/>
              </w:rPr>
              <w:t xml:space="preserve">Organy administracji publicznej są </w:t>
            </w:r>
            <w:r w:rsidR="00BA5870" w:rsidRPr="008C7038">
              <w:rPr>
                <w:rFonts w:ascii="Times New Roman" w:hAnsi="Times New Roman" w:cs="Times New Roman"/>
                <w:sz w:val="24"/>
                <w:szCs w:val="24"/>
              </w:rPr>
              <w:t xml:space="preserve">bowiem </w:t>
            </w:r>
            <w:r w:rsidR="00E441B4" w:rsidRPr="008C7038">
              <w:rPr>
                <w:rFonts w:ascii="Times New Roman" w:hAnsi="Times New Roman" w:cs="Times New Roman"/>
                <w:sz w:val="24"/>
                <w:szCs w:val="24"/>
              </w:rPr>
              <w:t>zobowiązane dokonać wpisu do IPA, podając informacje niezbędne do identyfikacji organu i wskazując w</w:t>
            </w:r>
            <w:r w:rsidR="00277F6C">
              <w:rPr>
                <w:rFonts w:ascii="Times New Roman" w:hAnsi="Times New Roman" w:cs="Times New Roman"/>
                <w:sz w:val="24"/>
                <w:szCs w:val="24"/>
              </w:rPr>
              <w:t> </w:t>
            </w:r>
            <w:r w:rsidR="00E441B4" w:rsidRPr="008C7038">
              <w:rPr>
                <w:rFonts w:ascii="Times New Roman" w:hAnsi="Times New Roman" w:cs="Times New Roman"/>
                <w:sz w:val="24"/>
                <w:szCs w:val="24"/>
              </w:rPr>
              <w:t>swojej strukturze osoby, które będą zarządzać treściami informacyjnymi umieszczanymi w IPA.</w:t>
            </w:r>
          </w:p>
          <w:p w14:paraId="2B84CC89" w14:textId="77777777" w:rsidR="003B1D56" w:rsidRPr="008C7038" w:rsidRDefault="00115B85" w:rsidP="00052A6C">
            <w:pPr>
              <w:spacing w:after="120"/>
              <w:ind w:left="63" w:right="159"/>
              <w:jc w:val="both"/>
              <w:rPr>
                <w:rFonts w:ascii="Times New Roman" w:hAnsi="Times New Roman" w:cs="Times New Roman"/>
                <w:sz w:val="24"/>
                <w:szCs w:val="24"/>
              </w:rPr>
            </w:pPr>
            <w:r w:rsidRPr="008C7038">
              <w:rPr>
                <w:rFonts w:ascii="Times New Roman" w:hAnsi="Times New Roman" w:cs="Times New Roman"/>
                <w:sz w:val="24"/>
                <w:szCs w:val="24"/>
              </w:rPr>
              <w:t>M</w:t>
            </w:r>
            <w:r w:rsidR="00BA37F3" w:rsidRPr="008C7038">
              <w:rPr>
                <w:rFonts w:ascii="Times New Roman" w:hAnsi="Times New Roman" w:cs="Times New Roman"/>
                <w:sz w:val="24"/>
                <w:szCs w:val="24"/>
              </w:rPr>
              <w:t>odel współpracy</w:t>
            </w:r>
            <w:r w:rsidRPr="008C7038">
              <w:rPr>
                <w:rFonts w:ascii="Times New Roman" w:hAnsi="Times New Roman" w:cs="Times New Roman"/>
                <w:sz w:val="24"/>
                <w:szCs w:val="24"/>
              </w:rPr>
              <w:t>, w którym p</w:t>
            </w:r>
            <w:r w:rsidR="00BA37F3" w:rsidRPr="008C7038">
              <w:rPr>
                <w:rFonts w:ascii="Times New Roman" w:hAnsi="Times New Roman" w:cs="Times New Roman"/>
                <w:sz w:val="24"/>
                <w:szCs w:val="24"/>
              </w:rPr>
              <w:t xml:space="preserve">aństwo </w:t>
            </w:r>
            <w:r w:rsidR="003318D0" w:rsidRPr="008C7038">
              <w:rPr>
                <w:rFonts w:ascii="Times New Roman" w:hAnsi="Times New Roman" w:cs="Times New Roman"/>
                <w:sz w:val="24"/>
                <w:szCs w:val="24"/>
              </w:rPr>
              <w:t>realizuje</w:t>
            </w:r>
            <w:r w:rsidR="00BA37F3" w:rsidRPr="008C7038">
              <w:rPr>
                <w:rFonts w:ascii="Times New Roman" w:hAnsi="Times New Roman" w:cs="Times New Roman"/>
                <w:sz w:val="24"/>
                <w:szCs w:val="24"/>
              </w:rPr>
              <w:t xml:space="preserve"> usługi </w:t>
            </w:r>
            <w:r w:rsidR="00073B7F" w:rsidRPr="008C7038">
              <w:rPr>
                <w:rFonts w:ascii="Times New Roman" w:hAnsi="Times New Roman" w:cs="Times New Roman"/>
                <w:sz w:val="24"/>
                <w:szCs w:val="24"/>
              </w:rPr>
              <w:t xml:space="preserve">doręczeń elektronicznych </w:t>
            </w:r>
            <w:r w:rsidR="003318D0" w:rsidRPr="008C7038">
              <w:rPr>
                <w:rFonts w:ascii="Times New Roman" w:hAnsi="Times New Roman" w:cs="Times New Roman"/>
                <w:sz w:val="24"/>
                <w:szCs w:val="24"/>
              </w:rPr>
              <w:t>poprzez operatora wyznaczonego</w:t>
            </w:r>
            <w:r w:rsidR="00BA37F3" w:rsidRPr="008C7038">
              <w:rPr>
                <w:rFonts w:ascii="Times New Roman" w:hAnsi="Times New Roman" w:cs="Times New Roman"/>
                <w:sz w:val="24"/>
                <w:szCs w:val="24"/>
              </w:rPr>
              <w:t xml:space="preserve">, </w:t>
            </w:r>
            <w:r w:rsidRPr="008C7038">
              <w:rPr>
                <w:rFonts w:ascii="Times New Roman" w:hAnsi="Times New Roman" w:cs="Times New Roman"/>
                <w:sz w:val="24"/>
                <w:szCs w:val="24"/>
              </w:rPr>
              <w:t>jest zastosowany</w:t>
            </w:r>
            <w:r w:rsidR="00BA37F3" w:rsidRPr="008C7038">
              <w:rPr>
                <w:rFonts w:ascii="Times New Roman" w:hAnsi="Times New Roman" w:cs="Times New Roman"/>
                <w:sz w:val="24"/>
                <w:szCs w:val="24"/>
              </w:rPr>
              <w:t xml:space="preserve"> </w:t>
            </w:r>
            <w:r w:rsidRPr="008C7038">
              <w:rPr>
                <w:rFonts w:ascii="Times New Roman" w:hAnsi="Times New Roman" w:cs="Times New Roman"/>
                <w:sz w:val="24"/>
                <w:szCs w:val="24"/>
              </w:rPr>
              <w:t xml:space="preserve">w </w:t>
            </w:r>
            <w:r w:rsidR="003B1D56" w:rsidRPr="008C7038">
              <w:rPr>
                <w:rFonts w:ascii="Times New Roman" w:hAnsi="Times New Roman" w:cs="Times New Roman"/>
                <w:sz w:val="24"/>
                <w:szCs w:val="24"/>
              </w:rPr>
              <w:t xml:space="preserve">Czechach, </w:t>
            </w:r>
            <w:r w:rsidR="00BA37F3" w:rsidRPr="008C7038">
              <w:rPr>
                <w:rFonts w:ascii="Times New Roman" w:hAnsi="Times New Roman" w:cs="Times New Roman"/>
                <w:sz w:val="24"/>
                <w:szCs w:val="24"/>
              </w:rPr>
              <w:t>Belgii, Danii czy Francji.</w:t>
            </w:r>
          </w:p>
          <w:p w14:paraId="20A761AA" w14:textId="77777777" w:rsidR="00F92B36" w:rsidRPr="008C7038" w:rsidRDefault="003B1D56" w:rsidP="00052A6C">
            <w:pPr>
              <w:spacing w:after="120"/>
              <w:ind w:left="63" w:right="159"/>
              <w:jc w:val="both"/>
              <w:rPr>
                <w:rFonts w:ascii="Times New Roman" w:hAnsi="Times New Roman" w:cs="Times New Roman"/>
                <w:sz w:val="24"/>
                <w:szCs w:val="24"/>
              </w:rPr>
            </w:pPr>
            <w:r w:rsidRPr="008C7038">
              <w:rPr>
                <w:rFonts w:ascii="Times New Roman" w:hAnsi="Times New Roman" w:cs="Times New Roman"/>
                <w:sz w:val="24"/>
                <w:szCs w:val="24"/>
              </w:rPr>
              <w:t xml:space="preserve">Polskie e-Doręczenia </w:t>
            </w:r>
            <w:r w:rsidR="00C26CA1" w:rsidRPr="008C7038">
              <w:rPr>
                <w:rFonts w:ascii="Times New Roman" w:hAnsi="Times New Roman" w:cs="Times New Roman"/>
                <w:sz w:val="24"/>
                <w:szCs w:val="24"/>
              </w:rPr>
              <w:t>w założeniach pozostają</w:t>
            </w:r>
            <w:r w:rsidRPr="008C7038">
              <w:rPr>
                <w:rFonts w:ascii="Times New Roman" w:hAnsi="Times New Roman" w:cs="Times New Roman"/>
                <w:sz w:val="24"/>
                <w:szCs w:val="24"/>
              </w:rPr>
              <w:t xml:space="preserve"> </w:t>
            </w:r>
            <w:r w:rsidR="00C26CA1" w:rsidRPr="008C7038">
              <w:rPr>
                <w:rFonts w:ascii="Times New Roman" w:hAnsi="Times New Roman" w:cs="Times New Roman"/>
                <w:sz w:val="24"/>
                <w:szCs w:val="24"/>
              </w:rPr>
              <w:t>bardzo</w:t>
            </w:r>
            <w:r w:rsidRPr="008C7038">
              <w:rPr>
                <w:rFonts w:ascii="Times New Roman" w:hAnsi="Times New Roman" w:cs="Times New Roman"/>
                <w:sz w:val="24"/>
                <w:szCs w:val="24"/>
              </w:rPr>
              <w:t xml:space="preserve"> zbliżone do modelu czeskiego.</w:t>
            </w:r>
            <w:r w:rsidR="00E441B4" w:rsidRPr="008C7038">
              <w:rPr>
                <w:rFonts w:ascii="Times New Roman" w:hAnsi="Times New Roman" w:cs="Times New Roman"/>
                <w:sz w:val="24"/>
                <w:szCs w:val="24"/>
              </w:rPr>
              <w:t xml:space="preserve"> </w:t>
            </w:r>
          </w:p>
          <w:tbl>
            <w:tblPr>
              <w:tblW w:w="10343" w:type="dxa"/>
              <w:tblLayout w:type="fixed"/>
              <w:tblCellMar>
                <w:left w:w="0" w:type="dxa"/>
                <w:right w:w="0" w:type="dxa"/>
              </w:tblCellMar>
              <w:tblLook w:val="04A0" w:firstRow="1" w:lastRow="0" w:firstColumn="1" w:lastColumn="0" w:noHBand="0" w:noVBand="1"/>
            </w:tblPr>
            <w:tblGrid>
              <w:gridCol w:w="1896"/>
              <w:gridCol w:w="2126"/>
              <w:gridCol w:w="2700"/>
              <w:gridCol w:w="3621"/>
            </w:tblGrid>
            <w:tr w:rsidR="00073B7F" w:rsidRPr="008C7038" w14:paraId="17B25254" w14:textId="77777777" w:rsidTr="008B50A7">
              <w:trPr>
                <w:trHeight w:val="404"/>
              </w:trPr>
              <w:tc>
                <w:tcPr>
                  <w:tcW w:w="1896"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505A6B95"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Kraj</w:t>
                  </w:r>
                </w:p>
              </w:tc>
              <w:tc>
                <w:tcPr>
                  <w:tcW w:w="2126"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37DE0F24"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Strony doręczeń</w:t>
                  </w:r>
                </w:p>
              </w:tc>
              <w:tc>
                <w:tcPr>
                  <w:tcW w:w="2700"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5CF7B404"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Finansowanie/opłaty</w:t>
                  </w:r>
                </w:p>
              </w:tc>
              <w:tc>
                <w:tcPr>
                  <w:tcW w:w="3621"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25C1D26C"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Uwarunkowania Prawne</w:t>
                  </w:r>
                </w:p>
              </w:tc>
            </w:tr>
            <w:tr w:rsidR="00073B7F" w:rsidRPr="008C7038" w14:paraId="791719BB" w14:textId="77777777" w:rsidTr="008B50A7">
              <w:trPr>
                <w:trHeight w:val="978"/>
              </w:trPr>
              <w:tc>
                <w:tcPr>
                  <w:tcW w:w="1896" w:type="dxa"/>
                  <w:tcBorders>
                    <w:top w:val="single" w:sz="24"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2F0D12DE"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Francja, </w:t>
                  </w:r>
                </w:p>
                <w:p w14:paraId="2399AAE3"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Le Poste</w:t>
                  </w:r>
                </w:p>
              </w:tc>
              <w:tc>
                <w:tcPr>
                  <w:tcW w:w="2126"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93D90F1"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tc>
              <w:tc>
                <w:tcPr>
                  <w:tcW w:w="2700"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9EE5C85"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Płatne za nadanie przesyłki i za przestrzeń dyskową.</w:t>
                  </w:r>
                </w:p>
              </w:tc>
              <w:tc>
                <w:tcPr>
                  <w:tcW w:w="3621"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38603488" w14:textId="77777777" w:rsidR="00073B7F" w:rsidRPr="008C7038" w:rsidRDefault="00073B7F">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Ustawa o Republice Cyfrowej (</w:t>
                  </w:r>
                  <w:r w:rsidRPr="008C7038">
                    <w:rPr>
                      <w:rFonts w:ascii="Times New Roman" w:hAnsi="Times New Roman" w:cs="Times New Roman"/>
                      <w:spacing w:val="-2"/>
                      <w:sz w:val="24"/>
                      <w:szCs w:val="24"/>
                      <w:lang w:val="fr-FR"/>
                    </w:rPr>
                    <w:t>LOI n° 2016-1321 du 7 octobre 2016 pour une République numérique</w:t>
                  </w:r>
                  <w:r w:rsidRPr="008C7038">
                    <w:rPr>
                      <w:rFonts w:ascii="Times New Roman" w:hAnsi="Times New Roman" w:cs="Times New Roman"/>
                      <w:spacing w:val="-2"/>
                      <w:sz w:val="24"/>
                      <w:szCs w:val="24"/>
                    </w:rPr>
                    <w:t>) art. 93</w:t>
                  </w:r>
                </w:p>
                <w:p w14:paraId="5DCC138E" w14:textId="77777777" w:rsidR="00073B7F" w:rsidRPr="008C7038" w:rsidRDefault="00073B7F">
                  <w:pPr>
                    <w:spacing w:line="257" w:lineRule="auto"/>
                    <w:rPr>
                      <w:rFonts w:ascii="Times New Roman" w:hAnsi="Times New Roman" w:cs="Times New Roman"/>
                      <w:spacing w:val="-2"/>
                      <w:sz w:val="24"/>
                      <w:szCs w:val="24"/>
                    </w:rPr>
                  </w:pPr>
                </w:p>
              </w:tc>
            </w:tr>
            <w:tr w:rsidR="00073B7F" w:rsidRPr="008C7038" w14:paraId="153258A5" w14:textId="77777777" w:rsidTr="008B50A7">
              <w:trPr>
                <w:trHeight w:val="1565"/>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06431166"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Włochy, </w:t>
                  </w:r>
                </w:p>
                <w:p w14:paraId="55FF3046" w14:textId="05B3FF25" w:rsidR="00073B7F" w:rsidRPr="008C7038" w:rsidRDefault="00073B7F" w:rsidP="00052A6C">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lang w:val="en-GB"/>
                    </w:rPr>
                    <w:t xml:space="preserve">Posta </w:t>
                  </w:r>
                  <w:r w:rsidRPr="008C7038">
                    <w:rPr>
                      <w:rFonts w:ascii="Times New Roman" w:hAnsi="Times New Roman" w:cs="Times New Roman"/>
                      <w:b/>
                      <w:bCs/>
                      <w:spacing w:val="-2"/>
                      <w:sz w:val="24"/>
                      <w:szCs w:val="24"/>
                    </w:rPr>
                    <w:t>E</w:t>
                  </w:r>
                  <w:r w:rsidRPr="008C7038">
                    <w:rPr>
                      <w:rFonts w:ascii="Times New Roman" w:hAnsi="Times New Roman" w:cs="Times New Roman"/>
                      <w:b/>
                      <w:bCs/>
                      <w:spacing w:val="-2"/>
                      <w:sz w:val="24"/>
                      <w:szCs w:val="24"/>
                      <w:lang w:val="en-GB"/>
                    </w:rPr>
                    <w:t xml:space="preserve">lettronica Certificata </w:t>
                  </w:r>
                </w:p>
              </w:tc>
              <w:tc>
                <w:tcPr>
                  <w:tcW w:w="2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39EBCC71"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podmioty publiczne</w:t>
                  </w:r>
                </w:p>
              </w:tc>
              <w:tc>
                <w:tcPr>
                  <w:tcW w:w="27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60ECAD1"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Opłaty abonamentowe w różnych wysokościach ustalanych przez dostawców usług.</w:t>
                  </w:r>
                </w:p>
                <w:p w14:paraId="20877D82" w14:textId="77777777" w:rsidR="00073B7F" w:rsidRPr="008C7038" w:rsidRDefault="00073B7F" w:rsidP="001C66D4">
                  <w:pPr>
                    <w:spacing w:line="257" w:lineRule="auto"/>
                    <w:rPr>
                      <w:rFonts w:ascii="Times New Roman" w:hAnsi="Times New Roman" w:cs="Times New Roman"/>
                      <w:spacing w:val="-2"/>
                      <w:sz w:val="24"/>
                      <w:szCs w:val="24"/>
                    </w:rPr>
                  </w:pPr>
                </w:p>
              </w:tc>
              <w:tc>
                <w:tcPr>
                  <w:tcW w:w="3621"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8E6A5F1" w14:textId="77777777" w:rsidR="00073B7F" w:rsidRPr="008C7038" w:rsidRDefault="00073B7F" w:rsidP="001C66D4">
                  <w:pPr>
                    <w:spacing w:line="257" w:lineRule="auto"/>
                    <w:rPr>
                      <w:rFonts w:ascii="Times New Roman" w:hAnsi="Times New Roman" w:cs="Times New Roman"/>
                      <w:spacing w:val="-2"/>
                      <w:sz w:val="24"/>
                      <w:szCs w:val="24"/>
                      <w:lang w:val="en-US"/>
                    </w:rPr>
                  </w:pPr>
                  <w:r w:rsidRPr="008C7038">
                    <w:rPr>
                      <w:rFonts w:ascii="Times New Roman" w:hAnsi="Times New Roman" w:cs="Times New Roman"/>
                      <w:spacing w:val="-2"/>
                      <w:sz w:val="24"/>
                      <w:szCs w:val="24"/>
                      <w:lang w:val="it-IT"/>
                    </w:rPr>
                    <w:t>Kodeks Administracji Cyfrowej (Codice dell’Administrazione Digitale, Decreto Legislativo 82/2005 modificato ed integrato dal Decreto Legislativo 235/2010),</w:t>
                  </w:r>
                </w:p>
                <w:p w14:paraId="1378CD7E"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lang w:val="it-IT"/>
                    </w:rPr>
                    <w:t xml:space="preserve">Dekret Prezydenta Republiki z </w:t>
                  </w:r>
                  <w:r w:rsidRPr="008C7038">
                    <w:rPr>
                      <w:rFonts w:ascii="Times New Roman" w:hAnsi="Times New Roman" w:cs="Times New Roman"/>
                      <w:spacing w:val="-2"/>
                      <w:sz w:val="24"/>
                      <w:szCs w:val="24"/>
                      <w:lang w:val="it-IT"/>
                    </w:rPr>
                    <w:lastRenderedPageBreak/>
                    <w:t>dnia 11 lutego 2005 r. N. 68 (Decreto del Presidente della Repubblica 11 febbraio 2005 n. 68</w:t>
                  </w:r>
                  <w:r w:rsidRPr="008C7038">
                    <w:rPr>
                      <w:rFonts w:ascii="Times New Roman" w:hAnsi="Times New Roman" w:cs="Times New Roman"/>
                      <w:spacing w:val="-2"/>
                      <w:sz w:val="24"/>
                      <w:szCs w:val="24"/>
                    </w:rPr>
                    <w:t>)</w:t>
                  </w:r>
                </w:p>
                <w:p w14:paraId="1C70246E" w14:textId="77777777" w:rsidR="00073B7F" w:rsidRPr="008C7038" w:rsidRDefault="00073B7F" w:rsidP="001C66D4">
                  <w:pPr>
                    <w:spacing w:line="257" w:lineRule="auto"/>
                    <w:rPr>
                      <w:rFonts w:ascii="Times New Roman" w:hAnsi="Times New Roman" w:cs="Times New Roman"/>
                      <w:spacing w:val="-2"/>
                      <w:sz w:val="24"/>
                      <w:szCs w:val="24"/>
                    </w:rPr>
                  </w:pPr>
                </w:p>
              </w:tc>
            </w:tr>
            <w:tr w:rsidR="00073B7F" w:rsidRPr="008C7038" w14:paraId="7802AB92" w14:textId="77777777" w:rsidTr="008B50A7">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477F6CC3"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lastRenderedPageBreak/>
                    <w:t>Czechy, MojedatovaSchranka</w:t>
                  </w:r>
                </w:p>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E7C3EDE"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tc>
              <w:tc>
                <w:tcPr>
                  <w:tcW w:w="27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F84B62B"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Darmowe dla osób fizycznych i przedsiębiorców.</w:t>
                  </w:r>
                </w:p>
                <w:p w14:paraId="214D82A3"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Użytkownicy płacą za usługi dodane.</w:t>
                  </w:r>
                </w:p>
                <w:p w14:paraId="35997A29" w14:textId="77777777" w:rsidR="00073B7F" w:rsidRPr="008C7038" w:rsidRDefault="00073B7F" w:rsidP="00F92B36">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Umowa MSW-Poczta Czeska określa ceny za wiadomości wysyłane przez administrację publiczną (ok. 0,46 EUR netto za wiadomość).</w:t>
                  </w:r>
                </w:p>
                <w:p w14:paraId="5BF053A8" w14:textId="77777777" w:rsidR="00073B7F" w:rsidRPr="008C7038" w:rsidRDefault="00073B7F" w:rsidP="00F92B36">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Koszt usługi pokrywa budżet państwa.</w:t>
                  </w:r>
                  <w:r w:rsidRPr="008C7038">
                    <w:rPr>
                      <w:rFonts w:ascii="Times New Roman" w:hAnsi="Times New Roman" w:cs="Times New Roman"/>
                      <w:spacing w:val="-2"/>
                      <w:sz w:val="24"/>
                      <w:szCs w:val="24"/>
                    </w:rPr>
                    <w:br/>
                    <w:t>Skrzynka należy do państwa, a poczta jest jej operatorem. Przedsiębiorcy i urzędy maja ustawowy obowiązek posiadania skrzynki.</w:t>
                  </w:r>
                </w:p>
                <w:p w14:paraId="2DC628ED" w14:textId="77777777" w:rsidR="00073B7F" w:rsidRPr="008C7038" w:rsidRDefault="00073B7F" w:rsidP="001C66D4">
                  <w:pPr>
                    <w:spacing w:line="257" w:lineRule="auto"/>
                    <w:rPr>
                      <w:rFonts w:ascii="Times New Roman" w:hAnsi="Times New Roman" w:cs="Times New Roman"/>
                      <w:spacing w:val="-2"/>
                      <w:sz w:val="24"/>
                      <w:szCs w:val="24"/>
                    </w:rPr>
                  </w:pPr>
                </w:p>
              </w:tc>
              <w:tc>
                <w:tcPr>
                  <w:tcW w:w="3621"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61CDE39"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Ustawa nr 300/2008 kol. w sprawie działań elektronicznych i autoryzowanej konwersji dokumentów (Zákon č. 300/2008 Sb. O elektronických úkonech a autorizované konverzi dokumentu)</w:t>
                  </w:r>
                </w:p>
                <w:p w14:paraId="3C85E72E" w14:textId="77777777" w:rsidR="00073B7F" w:rsidRPr="008C7038" w:rsidRDefault="00073B7F" w:rsidP="001C66D4">
                  <w:pPr>
                    <w:spacing w:line="257" w:lineRule="auto"/>
                    <w:rPr>
                      <w:rFonts w:ascii="Times New Roman" w:hAnsi="Times New Roman" w:cs="Times New Roman"/>
                      <w:spacing w:val="-2"/>
                      <w:sz w:val="24"/>
                      <w:szCs w:val="24"/>
                    </w:rPr>
                  </w:pPr>
                </w:p>
              </w:tc>
            </w:tr>
            <w:tr w:rsidR="00073B7F" w:rsidRPr="008C7038" w14:paraId="20A44EB3" w14:textId="77777777" w:rsidTr="008B50A7">
              <w:trPr>
                <w:trHeight w:val="1937"/>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197CF468"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Dania, </w:t>
                  </w:r>
                </w:p>
                <w:p w14:paraId="69B8F0B4"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DigitalPost </w:t>
                  </w:r>
                </w:p>
                <w:p w14:paraId="76F708B2"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(eBoks, vrk.dk)</w:t>
                  </w:r>
                </w:p>
              </w:tc>
              <w:tc>
                <w:tcPr>
                  <w:tcW w:w="2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7E1596A9"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p w14:paraId="1D41D74B" w14:textId="77777777" w:rsidR="00073B7F" w:rsidRPr="008C7038" w:rsidRDefault="00073B7F" w:rsidP="001C66D4">
                  <w:pPr>
                    <w:tabs>
                      <w:tab w:val="left" w:pos="1413"/>
                    </w:tabs>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częściowo sądy (nawet w postępowaniach karnych)</w:t>
                  </w:r>
                </w:p>
              </w:tc>
              <w:tc>
                <w:tcPr>
                  <w:tcW w:w="2700"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1ED2281"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Darmowa korespondencja dla osób fizycznych, płatna wysyłka dla firm i podmiotów publicznych.</w:t>
                  </w:r>
                </w:p>
                <w:p w14:paraId="01516291"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Dostawca wybierany w przetargu publicznym.</w:t>
                  </w:r>
                </w:p>
              </w:tc>
              <w:tc>
                <w:tcPr>
                  <w:tcW w:w="3621"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A3F14E5"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Ustawa o postępowaniu cyfrowym (Lov om Offentlig Digital Post). Zrównanie listu poleconego </w:t>
                  </w:r>
                  <w:r w:rsidRPr="008C7038">
                    <w:rPr>
                      <w:rFonts w:ascii="Times New Roman" w:hAnsi="Times New Roman" w:cs="Times New Roman"/>
                      <w:spacing w:val="-2"/>
                      <w:sz w:val="24"/>
                      <w:szCs w:val="24"/>
                    </w:rPr>
                    <w:br/>
                    <w:t>z e-doręczeniem. Obowiązek odbierania Digital Post od podmiotów publicznych nałożony na przedsiębiorców i osoby fizyczne. Minister Finansów wyznacza dostawcę usług e-doręczeń</w:t>
                  </w:r>
                </w:p>
                <w:p w14:paraId="511152DA" w14:textId="77777777" w:rsidR="00073B7F" w:rsidRPr="008C7038" w:rsidRDefault="00073B7F" w:rsidP="001C66D4">
                  <w:pPr>
                    <w:spacing w:line="257" w:lineRule="auto"/>
                    <w:rPr>
                      <w:rFonts w:ascii="Times New Roman" w:hAnsi="Times New Roman" w:cs="Times New Roman"/>
                      <w:spacing w:val="-2"/>
                      <w:sz w:val="24"/>
                      <w:szCs w:val="24"/>
                    </w:rPr>
                  </w:pPr>
                </w:p>
              </w:tc>
            </w:tr>
            <w:tr w:rsidR="00073B7F" w:rsidRPr="008C7038" w14:paraId="63AAE68C" w14:textId="77777777" w:rsidTr="008B50A7">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5A6BEE8F"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Estonia, </w:t>
                  </w:r>
                </w:p>
                <w:p w14:paraId="79ABD35D"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 xml:space="preserve">DigiDoc, </w:t>
                  </w:r>
                </w:p>
                <w:p w14:paraId="4FD89ACF"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b/>
                      <w:bCs/>
                      <w:spacing w:val="-2"/>
                      <w:sz w:val="24"/>
                      <w:szCs w:val="24"/>
                    </w:rPr>
                    <w:t>e-resident</w:t>
                  </w:r>
                </w:p>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3B7D323" w14:textId="77777777" w:rsidR="00073B7F" w:rsidRPr="008C7038" w:rsidRDefault="00073B7F" w:rsidP="001C66D4">
                  <w:pPr>
                    <w:spacing w:line="257" w:lineRule="auto"/>
                    <w:ind w:left="-57"/>
                    <w:rPr>
                      <w:rFonts w:ascii="Times New Roman" w:hAnsi="Times New Roman" w:cs="Times New Roman"/>
                      <w:spacing w:val="-2"/>
                      <w:sz w:val="24"/>
                      <w:szCs w:val="24"/>
                    </w:rPr>
                  </w:pPr>
                  <w:r w:rsidRPr="008C7038">
                    <w:rPr>
                      <w:rFonts w:ascii="Times New Roman" w:hAnsi="Times New Roman" w:cs="Times New Roman"/>
                      <w:spacing w:val="-2"/>
                      <w:sz w:val="24"/>
                      <w:szCs w:val="24"/>
                    </w:rPr>
                    <w:t>Osoby fizyczne, przedsiębiorcy, administracja.</w:t>
                  </w:r>
                </w:p>
              </w:tc>
              <w:tc>
                <w:tcPr>
                  <w:tcW w:w="2700"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E2BBAAE"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Darmowe w ograniczonym zakresie (liczba przesyłek). Zróżnicowana wysokość opłat abonamentowych.</w:t>
                  </w:r>
                </w:p>
              </w:tc>
              <w:tc>
                <w:tcPr>
                  <w:tcW w:w="3621"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EA5A4A9" w14:textId="77777777" w:rsidR="00073B7F" w:rsidRPr="008C7038" w:rsidRDefault="00073B7F"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Porozumienie rządowe</w:t>
                  </w:r>
                </w:p>
              </w:tc>
            </w:tr>
          </w:tbl>
          <w:p w14:paraId="2E5B6C24" w14:textId="77777777" w:rsidR="006A701A" w:rsidRPr="008C7038" w:rsidRDefault="006A701A" w:rsidP="001C66D4">
            <w:pPr>
              <w:spacing w:line="257" w:lineRule="auto"/>
              <w:rPr>
                <w:rFonts w:ascii="Times New Roman" w:hAnsi="Times New Roman" w:cs="Times New Roman"/>
                <w:spacing w:val="-2"/>
                <w:sz w:val="24"/>
                <w:szCs w:val="24"/>
              </w:rPr>
            </w:pPr>
          </w:p>
        </w:tc>
      </w:tr>
    </w:tbl>
    <w:p w14:paraId="39205F9E" w14:textId="77777777" w:rsidR="008C7038" w:rsidRDefault="008C7038">
      <w:r>
        <w:lastRenderedPageBreak/>
        <w:br w:type="page"/>
      </w:r>
    </w:p>
    <w:tbl>
      <w:tblPr>
        <w:tblW w:w="109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270"/>
        <w:gridCol w:w="286"/>
        <w:gridCol w:w="701"/>
        <w:gridCol w:w="670"/>
        <w:gridCol w:w="32"/>
        <w:gridCol w:w="156"/>
        <w:gridCol w:w="151"/>
        <w:gridCol w:w="109"/>
        <w:gridCol w:w="286"/>
        <w:gridCol w:w="588"/>
        <w:gridCol w:w="113"/>
        <w:gridCol w:w="114"/>
        <w:gridCol w:w="588"/>
        <w:gridCol w:w="178"/>
        <w:gridCol w:w="524"/>
        <w:gridCol w:w="468"/>
        <w:gridCol w:w="234"/>
        <w:gridCol w:w="110"/>
        <w:gridCol w:w="591"/>
        <w:gridCol w:w="57"/>
        <w:gridCol w:w="645"/>
        <w:gridCol w:w="347"/>
        <w:gridCol w:w="355"/>
        <w:gridCol w:w="638"/>
        <w:gridCol w:w="64"/>
        <w:gridCol w:w="986"/>
        <w:gridCol w:w="10"/>
        <w:gridCol w:w="114"/>
      </w:tblGrid>
      <w:tr w:rsidR="006A701A" w:rsidRPr="008C7038" w14:paraId="002A7AA6" w14:textId="77777777" w:rsidTr="008C7038">
        <w:trPr>
          <w:gridAfter w:val="2"/>
          <w:wAfter w:w="124" w:type="dxa"/>
          <w:trHeight w:val="359"/>
        </w:trPr>
        <w:tc>
          <w:tcPr>
            <w:tcW w:w="10832" w:type="dxa"/>
            <w:gridSpan w:val="27"/>
            <w:shd w:val="clear" w:color="auto" w:fill="99CCFF"/>
            <w:vAlign w:val="center"/>
          </w:tcPr>
          <w:p w14:paraId="1CA850A5" w14:textId="400C763A" w:rsidR="006A701A" w:rsidRPr="008C7038" w:rsidRDefault="006A701A"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lastRenderedPageBreak/>
              <w:t>Podmioty, na które oddziałuje projekt</w:t>
            </w:r>
          </w:p>
        </w:tc>
      </w:tr>
      <w:tr w:rsidR="00260F33" w:rsidRPr="008C7038" w14:paraId="608E64AE" w14:textId="77777777" w:rsidTr="008C7038">
        <w:trPr>
          <w:gridAfter w:val="2"/>
          <w:wAfter w:w="124" w:type="dxa"/>
          <w:trHeight w:val="142"/>
        </w:trPr>
        <w:tc>
          <w:tcPr>
            <w:tcW w:w="1841" w:type="dxa"/>
            <w:gridSpan w:val="2"/>
            <w:shd w:val="clear" w:color="auto" w:fill="auto"/>
          </w:tcPr>
          <w:p w14:paraId="78AFE853" w14:textId="77777777" w:rsidR="00260F33" w:rsidRPr="008C7038" w:rsidRDefault="00260F33"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Grupa</w:t>
            </w:r>
          </w:p>
        </w:tc>
        <w:tc>
          <w:tcPr>
            <w:tcW w:w="2105" w:type="dxa"/>
            <w:gridSpan w:val="7"/>
            <w:shd w:val="clear" w:color="auto" w:fill="auto"/>
          </w:tcPr>
          <w:p w14:paraId="0F70B6F0" w14:textId="77777777" w:rsidR="00260F33" w:rsidRPr="008C7038" w:rsidRDefault="00563199"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Wielkość</w:t>
            </w:r>
          </w:p>
        </w:tc>
        <w:tc>
          <w:tcPr>
            <w:tcW w:w="2391" w:type="dxa"/>
            <w:gridSpan w:val="7"/>
            <w:shd w:val="clear" w:color="auto" w:fill="auto"/>
          </w:tcPr>
          <w:p w14:paraId="7226BD92" w14:textId="77777777" w:rsidR="00260F33" w:rsidRPr="008C7038" w:rsidRDefault="00260F33"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Źródło danych</w:t>
            </w:r>
            <w:r w:rsidRPr="008C7038" w:rsidDel="00260F33">
              <w:rPr>
                <w:rFonts w:ascii="Times New Roman" w:hAnsi="Times New Roman" w:cs="Times New Roman"/>
                <w:spacing w:val="-2"/>
                <w:sz w:val="24"/>
                <w:szCs w:val="24"/>
              </w:rPr>
              <w:t xml:space="preserve"> </w:t>
            </w:r>
          </w:p>
        </w:tc>
        <w:tc>
          <w:tcPr>
            <w:tcW w:w="4495" w:type="dxa"/>
            <w:gridSpan w:val="11"/>
            <w:shd w:val="clear" w:color="auto" w:fill="auto"/>
          </w:tcPr>
          <w:p w14:paraId="53438692" w14:textId="77777777" w:rsidR="00260F33" w:rsidRPr="008C7038" w:rsidRDefault="00260F33" w:rsidP="001C66D4">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Oddziaływanie</w:t>
            </w:r>
          </w:p>
        </w:tc>
      </w:tr>
      <w:tr w:rsidR="00260F33" w:rsidRPr="008C7038" w14:paraId="461422E9" w14:textId="77777777" w:rsidTr="008C7038">
        <w:trPr>
          <w:gridAfter w:val="2"/>
          <w:wAfter w:w="124" w:type="dxa"/>
          <w:trHeight w:val="142"/>
        </w:trPr>
        <w:tc>
          <w:tcPr>
            <w:tcW w:w="1841" w:type="dxa"/>
            <w:gridSpan w:val="2"/>
            <w:shd w:val="clear" w:color="auto" w:fill="auto"/>
          </w:tcPr>
          <w:p w14:paraId="51B958A7" w14:textId="77777777" w:rsidR="00260F33" w:rsidRPr="008C7038" w:rsidRDefault="005F621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Obywatele </w:t>
            </w:r>
          </w:p>
        </w:tc>
        <w:tc>
          <w:tcPr>
            <w:tcW w:w="2105" w:type="dxa"/>
            <w:gridSpan w:val="7"/>
            <w:shd w:val="clear" w:color="auto" w:fill="auto"/>
          </w:tcPr>
          <w:p w14:paraId="4E8AD8A8" w14:textId="77777777" w:rsidR="006E5488" w:rsidRPr="008C7038" w:rsidRDefault="000E1481"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Osoby </w:t>
            </w:r>
            <w:r w:rsidR="00D06140" w:rsidRPr="008C7038">
              <w:rPr>
                <w:rFonts w:ascii="Times New Roman" w:hAnsi="Times New Roman" w:cs="Times New Roman"/>
                <w:sz w:val="24"/>
                <w:szCs w:val="24"/>
              </w:rPr>
              <w:t>w wieku produkcyjnym i</w:t>
            </w:r>
            <w:r w:rsidR="00407DD6" w:rsidRPr="008C7038">
              <w:rPr>
                <w:rFonts w:ascii="Times New Roman" w:hAnsi="Times New Roman" w:cs="Times New Roman"/>
                <w:sz w:val="24"/>
                <w:szCs w:val="24"/>
              </w:rPr>
              <w:t> </w:t>
            </w:r>
            <w:r w:rsidR="00D06140" w:rsidRPr="008C7038">
              <w:rPr>
                <w:rFonts w:ascii="Times New Roman" w:hAnsi="Times New Roman" w:cs="Times New Roman"/>
                <w:sz w:val="24"/>
                <w:szCs w:val="24"/>
              </w:rPr>
              <w:t>poprodukcyjnym</w:t>
            </w:r>
            <w:r w:rsidRPr="008C7038">
              <w:rPr>
                <w:rFonts w:ascii="Times New Roman" w:hAnsi="Times New Roman" w:cs="Times New Roman"/>
                <w:sz w:val="24"/>
                <w:szCs w:val="24"/>
              </w:rPr>
              <w:t xml:space="preserve">: </w:t>
            </w:r>
            <w:r w:rsidR="00B918F8" w:rsidRPr="008C7038">
              <w:rPr>
                <w:rFonts w:ascii="Times New Roman" w:hAnsi="Times New Roman" w:cs="Times New Roman"/>
                <w:sz w:val="24"/>
                <w:szCs w:val="24"/>
              </w:rPr>
              <w:t xml:space="preserve">ok. </w:t>
            </w:r>
            <w:r w:rsidR="00D06140" w:rsidRPr="008C7038">
              <w:rPr>
                <w:rFonts w:ascii="Times New Roman" w:hAnsi="Times New Roman" w:cs="Times New Roman"/>
                <w:sz w:val="24"/>
                <w:szCs w:val="24"/>
              </w:rPr>
              <w:t>31,5 miliona</w:t>
            </w:r>
            <w:r w:rsidRPr="008C7038">
              <w:rPr>
                <w:rFonts w:ascii="Times New Roman" w:hAnsi="Times New Roman" w:cs="Times New Roman"/>
                <w:sz w:val="24"/>
                <w:szCs w:val="24"/>
              </w:rPr>
              <w:t>.</w:t>
            </w:r>
          </w:p>
        </w:tc>
        <w:tc>
          <w:tcPr>
            <w:tcW w:w="2391" w:type="dxa"/>
            <w:gridSpan w:val="7"/>
            <w:shd w:val="clear" w:color="auto" w:fill="auto"/>
          </w:tcPr>
          <w:p w14:paraId="3FA684A4" w14:textId="77777777" w:rsidR="00260F33" w:rsidRPr="008C7038" w:rsidRDefault="00D06140"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Rocznik Statystyczny </w:t>
            </w:r>
            <w:r w:rsidR="006E5488" w:rsidRPr="008C7038">
              <w:rPr>
                <w:rFonts w:ascii="Times New Roman" w:hAnsi="Times New Roman" w:cs="Times New Roman"/>
                <w:spacing w:val="-2"/>
                <w:sz w:val="24"/>
                <w:szCs w:val="24"/>
              </w:rPr>
              <w:t>GUS</w:t>
            </w:r>
            <w:r w:rsidRPr="008C7038">
              <w:rPr>
                <w:rFonts w:ascii="Times New Roman" w:hAnsi="Times New Roman" w:cs="Times New Roman"/>
                <w:spacing w:val="-2"/>
                <w:sz w:val="24"/>
                <w:szCs w:val="24"/>
              </w:rPr>
              <w:t xml:space="preserve"> 2017</w:t>
            </w:r>
          </w:p>
          <w:p w14:paraId="723B58B9" w14:textId="77777777" w:rsidR="00093D07" w:rsidRPr="008C7038" w:rsidRDefault="00093D07" w:rsidP="00052A6C">
            <w:pPr>
              <w:spacing w:after="120"/>
              <w:rPr>
                <w:rFonts w:ascii="Times New Roman" w:hAnsi="Times New Roman" w:cs="Times New Roman"/>
                <w:spacing w:val="-2"/>
                <w:sz w:val="24"/>
                <w:szCs w:val="24"/>
              </w:rPr>
            </w:pPr>
          </w:p>
          <w:p w14:paraId="69C7A68B" w14:textId="77777777" w:rsidR="00093D07" w:rsidRPr="008C7038" w:rsidRDefault="00093D07" w:rsidP="00052A6C">
            <w:pPr>
              <w:spacing w:after="120"/>
              <w:rPr>
                <w:rFonts w:ascii="Times New Roman" w:hAnsi="Times New Roman" w:cs="Times New Roman"/>
                <w:spacing w:val="-2"/>
                <w:sz w:val="24"/>
                <w:szCs w:val="24"/>
              </w:rPr>
            </w:pPr>
          </w:p>
        </w:tc>
        <w:tc>
          <w:tcPr>
            <w:tcW w:w="4495" w:type="dxa"/>
            <w:gridSpan w:val="11"/>
            <w:shd w:val="clear" w:color="auto" w:fill="auto"/>
          </w:tcPr>
          <w:p w14:paraId="2B4D0DB8" w14:textId="77777777" w:rsidR="009B4F94" w:rsidRPr="008C7038" w:rsidRDefault="009B4F94"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Projekt </w:t>
            </w:r>
            <w:r w:rsidRPr="008C7038">
              <w:rPr>
                <w:rFonts w:ascii="Times New Roman" w:hAnsi="Times New Roman" w:cs="Times New Roman"/>
                <w:sz w:val="24"/>
                <w:szCs w:val="24"/>
              </w:rPr>
              <w:t>wpłynie</w:t>
            </w:r>
            <w:r w:rsidRPr="008C7038">
              <w:rPr>
                <w:rFonts w:ascii="Times New Roman" w:hAnsi="Times New Roman" w:cs="Times New Roman"/>
                <w:spacing w:val="-2"/>
                <w:sz w:val="24"/>
                <w:szCs w:val="24"/>
              </w:rPr>
              <w:t xml:space="preserve"> pozytywnie</w:t>
            </w:r>
            <w:r w:rsidR="005A3C38" w:rsidRPr="008C7038">
              <w:rPr>
                <w:rFonts w:ascii="Times New Roman" w:hAnsi="Times New Roman" w:cs="Times New Roman"/>
                <w:spacing w:val="-2"/>
                <w:sz w:val="24"/>
                <w:szCs w:val="24"/>
              </w:rPr>
              <w:t xml:space="preserve"> na obywateli</w:t>
            </w:r>
            <w:r w:rsidRPr="008C7038">
              <w:rPr>
                <w:rFonts w:ascii="Times New Roman" w:hAnsi="Times New Roman" w:cs="Times New Roman"/>
                <w:spacing w:val="-2"/>
                <w:sz w:val="24"/>
                <w:szCs w:val="24"/>
              </w:rPr>
              <w:t xml:space="preserve"> </w:t>
            </w:r>
            <w:r w:rsidR="00D06140" w:rsidRPr="008C7038">
              <w:rPr>
                <w:rFonts w:ascii="Times New Roman" w:hAnsi="Times New Roman" w:cs="Times New Roman"/>
                <w:spacing w:val="-2"/>
                <w:sz w:val="24"/>
                <w:szCs w:val="24"/>
              </w:rPr>
              <w:t xml:space="preserve">niewykluczonych cyfrowo </w:t>
            </w:r>
            <w:r w:rsidRPr="008C7038">
              <w:rPr>
                <w:rFonts w:ascii="Times New Roman" w:hAnsi="Times New Roman" w:cs="Times New Roman"/>
                <w:spacing w:val="-2"/>
                <w:sz w:val="24"/>
                <w:szCs w:val="24"/>
              </w:rPr>
              <w:t xml:space="preserve">poprzez </w:t>
            </w:r>
            <w:r w:rsidR="005D1FB5" w:rsidRPr="008C7038">
              <w:rPr>
                <w:rFonts w:ascii="Times New Roman" w:hAnsi="Times New Roman" w:cs="Times New Roman"/>
                <w:spacing w:val="-2"/>
                <w:sz w:val="24"/>
                <w:szCs w:val="24"/>
              </w:rPr>
              <w:t xml:space="preserve">zapewnienie </w:t>
            </w:r>
            <w:r w:rsidR="00A41D3B" w:rsidRPr="008C7038">
              <w:rPr>
                <w:rFonts w:ascii="Times New Roman" w:hAnsi="Times New Roman" w:cs="Times New Roman"/>
                <w:spacing w:val="-2"/>
                <w:sz w:val="24"/>
                <w:szCs w:val="24"/>
              </w:rPr>
              <w:t>im możliwości korzystania z</w:t>
            </w:r>
            <w:r w:rsidR="00D11715"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elektronicznego doręczenia docelowo we</w:t>
            </w:r>
            <w:r w:rsidR="00D11715"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wszystkich procedurach i</w:t>
            </w:r>
            <w:r w:rsidR="005406DE"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postępowaniach z</w:t>
            </w:r>
            <w:r w:rsidR="00D11715" w:rsidRPr="008C7038">
              <w:rPr>
                <w:rFonts w:ascii="Times New Roman" w:hAnsi="Times New Roman" w:cs="Times New Roman"/>
                <w:spacing w:val="-2"/>
                <w:sz w:val="24"/>
                <w:szCs w:val="24"/>
              </w:rPr>
              <w:t> </w:t>
            </w:r>
            <w:r w:rsidR="00A41D3B" w:rsidRPr="008C7038">
              <w:rPr>
                <w:rFonts w:ascii="Times New Roman" w:hAnsi="Times New Roman" w:cs="Times New Roman"/>
                <w:spacing w:val="-2"/>
                <w:sz w:val="24"/>
                <w:szCs w:val="24"/>
              </w:rPr>
              <w:t>podmiotami publicznymi</w:t>
            </w:r>
            <w:r w:rsidR="00FC2EBB" w:rsidRPr="008C7038">
              <w:rPr>
                <w:rFonts w:ascii="Times New Roman" w:hAnsi="Times New Roman" w:cs="Times New Roman"/>
                <w:spacing w:val="-2"/>
                <w:sz w:val="24"/>
                <w:szCs w:val="24"/>
              </w:rPr>
              <w:t>,</w:t>
            </w:r>
            <w:r w:rsidR="00D06140" w:rsidRPr="008C7038">
              <w:rPr>
                <w:rFonts w:ascii="Times New Roman" w:hAnsi="Times New Roman" w:cs="Times New Roman"/>
                <w:spacing w:val="-2"/>
                <w:sz w:val="24"/>
                <w:szCs w:val="24"/>
              </w:rPr>
              <w:t xml:space="preserve"> jak również na przyśpieszenie załatwiania spraw.</w:t>
            </w:r>
          </w:p>
        </w:tc>
      </w:tr>
      <w:tr w:rsidR="00260F33" w:rsidRPr="008C7038" w14:paraId="09A165BE" w14:textId="77777777" w:rsidTr="008C7038">
        <w:trPr>
          <w:gridAfter w:val="2"/>
          <w:wAfter w:w="124" w:type="dxa"/>
          <w:trHeight w:val="142"/>
        </w:trPr>
        <w:tc>
          <w:tcPr>
            <w:tcW w:w="1841" w:type="dxa"/>
            <w:gridSpan w:val="2"/>
            <w:shd w:val="clear" w:color="auto" w:fill="auto"/>
          </w:tcPr>
          <w:p w14:paraId="0D8C2109" w14:textId="77777777" w:rsidR="00260F33" w:rsidRPr="008C7038" w:rsidRDefault="005F621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Przedsiębiorcy</w:t>
            </w:r>
          </w:p>
        </w:tc>
        <w:tc>
          <w:tcPr>
            <w:tcW w:w="2105" w:type="dxa"/>
            <w:gridSpan w:val="7"/>
            <w:shd w:val="clear" w:color="auto" w:fill="auto"/>
          </w:tcPr>
          <w:p w14:paraId="53DC0852" w14:textId="77777777" w:rsidR="00260F33" w:rsidRPr="008C7038" w:rsidRDefault="00901917"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Przedsiębiorcy</w:t>
            </w:r>
            <w:r w:rsidR="001C0C23" w:rsidRPr="008C7038">
              <w:rPr>
                <w:rFonts w:ascii="Times New Roman" w:hAnsi="Times New Roman" w:cs="Times New Roman"/>
                <w:sz w:val="24"/>
                <w:szCs w:val="24"/>
              </w:rPr>
              <w:t>:</w:t>
            </w:r>
            <w:r w:rsidRPr="008C7038">
              <w:rPr>
                <w:rFonts w:ascii="Times New Roman" w:hAnsi="Times New Roman" w:cs="Times New Roman"/>
                <w:sz w:val="24"/>
                <w:szCs w:val="24"/>
              </w:rPr>
              <w:t xml:space="preserve"> o</w:t>
            </w:r>
            <w:r w:rsidR="001707A1" w:rsidRPr="008C7038">
              <w:rPr>
                <w:rFonts w:ascii="Times New Roman" w:hAnsi="Times New Roman" w:cs="Times New Roman"/>
                <w:sz w:val="24"/>
                <w:szCs w:val="24"/>
              </w:rPr>
              <w:t>k. 3</w:t>
            </w:r>
            <w:r w:rsidR="001C0C23" w:rsidRPr="008C7038">
              <w:rPr>
                <w:rFonts w:ascii="Times New Roman" w:hAnsi="Times New Roman" w:cs="Times New Roman"/>
                <w:sz w:val="24"/>
                <w:szCs w:val="24"/>
              </w:rPr>
              <w:t xml:space="preserve"> </w:t>
            </w:r>
            <w:r w:rsidR="001707A1" w:rsidRPr="008C7038">
              <w:rPr>
                <w:rFonts w:ascii="Times New Roman" w:hAnsi="Times New Roman" w:cs="Times New Roman"/>
                <w:sz w:val="24"/>
                <w:szCs w:val="24"/>
              </w:rPr>
              <w:t>440</w:t>
            </w:r>
            <w:r w:rsidR="001C0C23" w:rsidRPr="008C7038">
              <w:rPr>
                <w:rFonts w:ascii="Times New Roman" w:hAnsi="Times New Roman" w:cs="Times New Roman"/>
                <w:sz w:val="24"/>
                <w:szCs w:val="24"/>
              </w:rPr>
              <w:t xml:space="preserve"> </w:t>
            </w:r>
            <w:r w:rsidR="001707A1" w:rsidRPr="008C7038">
              <w:rPr>
                <w:rFonts w:ascii="Times New Roman" w:hAnsi="Times New Roman" w:cs="Times New Roman"/>
                <w:sz w:val="24"/>
                <w:szCs w:val="24"/>
              </w:rPr>
              <w:t xml:space="preserve">000 </w:t>
            </w:r>
          </w:p>
        </w:tc>
        <w:tc>
          <w:tcPr>
            <w:tcW w:w="2391" w:type="dxa"/>
            <w:gridSpan w:val="7"/>
            <w:shd w:val="clear" w:color="auto" w:fill="auto"/>
          </w:tcPr>
          <w:p w14:paraId="3B381884" w14:textId="77777777" w:rsidR="00260F33" w:rsidRPr="008C7038" w:rsidRDefault="00443157"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w:t>
            </w:r>
            <w:r w:rsidR="009E26C2" w:rsidRPr="008C7038">
              <w:rPr>
                <w:rFonts w:ascii="Times New Roman" w:hAnsi="Times New Roman" w:cs="Times New Roman"/>
                <w:spacing w:val="-2"/>
                <w:sz w:val="24"/>
                <w:szCs w:val="24"/>
              </w:rPr>
              <w:t xml:space="preserve">Społeczeństwo informacyjne w Polsce w 2017 </w:t>
            </w:r>
            <w:r w:rsidR="009C1AE8" w:rsidRPr="008C7038">
              <w:rPr>
                <w:rFonts w:ascii="Times New Roman" w:hAnsi="Times New Roman" w:cs="Times New Roman"/>
                <w:spacing w:val="-2"/>
                <w:sz w:val="24"/>
                <w:szCs w:val="24"/>
              </w:rPr>
              <w:t>r.</w:t>
            </w:r>
            <w:r w:rsidRPr="008C7038">
              <w:rPr>
                <w:rFonts w:ascii="Times New Roman" w:hAnsi="Times New Roman" w:cs="Times New Roman"/>
                <w:spacing w:val="-2"/>
                <w:sz w:val="24"/>
                <w:szCs w:val="24"/>
              </w:rPr>
              <w:t>”</w:t>
            </w:r>
          </w:p>
          <w:p w14:paraId="72115AEA" w14:textId="77777777" w:rsidR="009E26C2" w:rsidRPr="008C7038" w:rsidRDefault="009E26C2"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opracowanie GUS.</w:t>
            </w:r>
          </w:p>
          <w:p w14:paraId="1ED9B07B" w14:textId="77777777" w:rsidR="003B2A22" w:rsidRPr="008C7038" w:rsidRDefault="00A77C5C"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Informacja </w:t>
            </w:r>
            <w:r w:rsidR="003B2A22" w:rsidRPr="008C7038">
              <w:rPr>
                <w:rFonts w:ascii="Times New Roman" w:hAnsi="Times New Roman" w:cs="Times New Roman"/>
                <w:sz w:val="24"/>
                <w:szCs w:val="24"/>
              </w:rPr>
              <w:t>o liczbie przedsiębiorców według stanu rejestru REGON na dzień 30</w:t>
            </w:r>
            <w:r w:rsidR="006415A2" w:rsidRPr="008C7038">
              <w:rPr>
                <w:rFonts w:ascii="Times New Roman" w:hAnsi="Times New Roman" w:cs="Times New Roman"/>
                <w:sz w:val="24"/>
                <w:szCs w:val="24"/>
              </w:rPr>
              <w:t xml:space="preserve"> czerwca </w:t>
            </w:r>
            <w:r w:rsidR="003B2A22" w:rsidRPr="008C7038">
              <w:rPr>
                <w:rFonts w:ascii="Times New Roman" w:hAnsi="Times New Roman" w:cs="Times New Roman"/>
                <w:sz w:val="24"/>
                <w:szCs w:val="24"/>
              </w:rPr>
              <w:t>2017 r.</w:t>
            </w:r>
          </w:p>
        </w:tc>
        <w:tc>
          <w:tcPr>
            <w:tcW w:w="4495" w:type="dxa"/>
            <w:gridSpan w:val="11"/>
            <w:shd w:val="clear" w:color="auto" w:fill="auto"/>
          </w:tcPr>
          <w:p w14:paraId="205420B3" w14:textId="77777777" w:rsidR="006E5488" w:rsidRPr="008C7038" w:rsidRDefault="006E5488" w:rsidP="00052A6C">
            <w:pPr>
              <w:spacing w:after="120"/>
              <w:rPr>
                <w:rFonts w:ascii="Times New Roman" w:hAnsi="Times New Roman" w:cs="Times New Roman"/>
                <w:spacing w:val="-2"/>
                <w:sz w:val="24"/>
                <w:szCs w:val="24"/>
              </w:rPr>
            </w:pPr>
            <w:r w:rsidRPr="008C7038">
              <w:rPr>
                <w:rFonts w:ascii="Times New Roman" w:eastAsia="Times New Roman" w:hAnsi="Times New Roman" w:cs="Times New Roman"/>
                <w:sz w:val="24"/>
                <w:szCs w:val="24"/>
                <w:lang w:eastAsia="pl-PL"/>
              </w:rPr>
              <w:t>Z badań</w:t>
            </w:r>
            <w:r w:rsidR="00093D07" w:rsidRPr="008C7038">
              <w:rPr>
                <w:rFonts w:ascii="Times New Roman" w:eastAsia="Times New Roman" w:hAnsi="Times New Roman" w:cs="Times New Roman"/>
                <w:sz w:val="24"/>
                <w:szCs w:val="24"/>
                <w:lang w:eastAsia="pl-PL"/>
              </w:rPr>
              <w:t xml:space="preserve"> </w:t>
            </w:r>
            <w:r w:rsidR="009C1AE8" w:rsidRPr="008C7038">
              <w:rPr>
                <w:rFonts w:ascii="Times New Roman" w:eastAsia="Times New Roman" w:hAnsi="Times New Roman" w:cs="Times New Roman"/>
                <w:sz w:val="24"/>
                <w:szCs w:val="24"/>
                <w:lang w:eastAsia="pl-PL"/>
              </w:rPr>
              <w:t>„</w:t>
            </w:r>
            <w:r w:rsidR="00093D07" w:rsidRPr="008C7038">
              <w:rPr>
                <w:rFonts w:ascii="Times New Roman" w:hAnsi="Times New Roman" w:cs="Times New Roman"/>
                <w:spacing w:val="-2"/>
                <w:sz w:val="24"/>
                <w:szCs w:val="24"/>
              </w:rPr>
              <w:t>Społeczeństwo</w:t>
            </w:r>
            <w:r w:rsidR="00093D07" w:rsidRPr="008C7038">
              <w:rPr>
                <w:rFonts w:ascii="Times New Roman" w:hAnsi="Times New Roman" w:cs="Times New Roman"/>
                <w:sz w:val="24"/>
                <w:szCs w:val="24"/>
              </w:rPr>
              <w:t xml:space="preserve"> informacyjne w</w:t>
            </w:r>
            <w:r w:rsidR="000D06C7" w:rsidRPr="008C7038">
              <w:rPr>
                <w:rFonts w:ascii="Times New Roman" w:hAnsi="Times New Roman" w:cs="Times New Roman"/>
                <w:sz w:val="24"/>
                <w:szCs w:val="24"/>
              </w:rPr>
              <w:t> </w:t>
            </w:r>
            <w:r w:rsidR="00093D07" w:rsidRPr="008C7038">
              <w:rPr>
                <w:rFonts w:ascii="Times New Roman" w:hAnsi="Times New Roman" w:cs="Times New Roman"/>
                <w:sz w:val="24"/>
                <w:szCs w:val="24"/>
              </w:rPr>
              <w:t>Polsce w 2017 r.</w:t>
            </w:r>
            <w:r w:rsidR="009C1AE8" w:rsidRPr="008C7038">
              <w:rPr>
                <w:rFonts w:ascii="Times New Roman" w:hAnsi="Times New Roman" w:cs="Times New Roman"/>
                <w:sz w:val="24"/>
                <w:szCs w:val="24"/>
              </w:rPr>
              <w:t>”</w:t>
            </w:r>
            <w:r w:rsidR="00093D07" w:rsidRPr="008C7038">
              <w:rPr>
                <w:rFonts w:ascii="Times New Roman" w:hAnsi="Times New Roman" w:cs="Times New Roman"/>
                <w:sz w:val="24"/>
                <w:szCs w:val="24"/>
              </w:rPr>
              <w:t xml:space="preserve"> (</w:t>
            </w:r>
            <w:r w:rsidR="00B918F8" w:rsidRPr="008C7038">
              <w:rPr>
                <w:rFonts w:ascii="Times New Roman" w:hAnsi="Times New Roman" w:cs="Times New Roman"/>
                <w:sz w:val="24"/>
                <w:szCs w:val="24"/>
              </w:rPr>
              <w:t xml:space="preserve">GUS) </w:t>
            </w:r>
            <w:r w:rsidR="00B918F8" w:rsidRPr="008C7038">
              <w:rPr>
                <w:rFonts w:ascii="Times New Roman" w:eastAsia="Times New Roman" w:hAnsi="Times New Roman" w:cs="Times New Roman"/>
                <w:sz w:val="24"/>
                <w:szCs w:val="24"/>
                <w:lang w:eastAsia="pl-PL"/>
              </w:rPr>
              <w:t>wynika</w:t>
            </w:r>
            <w:r w:rsidRPr="008C7038">
              <w:rPr>
                <w:rFonts w:ascii="Times New Roman" w:eastAsia="Times New Roman" w:hAnsi="Times New Roman" w:cs="Times New Roman"/>
                <w:sz w:val="24"/>
                <w:szCs w:val="24"/>
                <w:lang w:eastAsia="pl-PL"/>
              </w:rPr>
              <w:t>, że</w:t>
            </w:r>
            <w:r w:rsidR="00D11715" w:rsidRPr="008C7038">
              <w:rPr>
                <w:rFonts w:ascii="Times New Roman" w:eastAsia="Times New Roman" w:hAnsi="Times New Roman" w:cs="Times New Roman"/>
                <w:sz w:val="24"/>
                <w:szCs w:val="24"/>
                <w:lang w:eastAsia="pl-PL"/>
              </w:rPr>
              <w:t> </w:t>
            </w:r>
            <w:r w:rsidR="00D1284B" w:rsidRPr="008C7038">
              <w:rPr>
                <w:rFonts w:ascii="Times New Roman" w:eastAsia="Times New Roman" w:hAnsi="Times New Roman" w:cs="Times New Roman"/>
                <w:sz w:val="24"/>
                <w:szCs w:val="24"/>
                <w:lang w:eastAsia="pl-PL"/>
              </w:rPr>
              <w:t>w</w:t>
            </w:r>
            <w:r w:rsidR="007408E0" w:rsidRPr="008C7038">
              <w:rPr>
                <w:rFonts w:ascii="Times New Roman" w:eastAsia="Times New Roman" w:hAnsi="Times New Roman" w:cs="Times New Roman"/>
                <w:sz w:val="24"/>
                <w:szCs w:val="24"/>
                <w:lang w:eastAsia="pl-PL"/>
              </w:rPr>
              <w:t> </w:t>
            </w:r>
            <w:r w:rsidR="00D1284B" w:rsidRPr="008C7038">
              <w:rPr>
                <w:rFonts w:ascii="Times New Roman" w:eastAsia="Times New Roman" w:hAnsi="Times New Roman" w:cs="Times New Roman"/>
                <w:sz w:val="24"/>
                <w:szCs w:val="24"/>
                <w:lang w:eastAsia="pl-PL"/>
              </w:rPr>
              <w:t>2016</w:t>
            </w:r>
            <w:r w:rsidR="00E7657D" w:rsidRPr="008C7038">
              <w:rPr>
                <w:rFonts w:ascii="Times New Roman" w:eastAsia="Times New Roman" w:hAnsi="Times New Roman" w:cs="Times New Roman"/>
                <w:sz w:val="24"/>
                <w:szCs w:val="24"/>
                <w:lang w:eastAsia="pl-PL"/>
              </w:rPr>
              <w:t> </w:t>
            </w:r>
            <w:r w:rsidR="00D1284B" w:rsidRPr="008C7038">
              <w:rPr>
                <w:rFonts w:ascii="Times New Roman" w:eastAsia="Times New Roman" w:hAnsi="Times New Roman" w:cs="Times New Roman"/>
                <w:sz w:val="24"/>
                <w:szCs w:val="24"/>
                <w:lang w:eastAsia="pl-PL"/>
              </w:rPr>
              <w:t xml:space="preserve">r. </w:t>
            </w:r>
            <w:r w:rsidRPr="008C7038">
              <w:rPr>
                <w:rFonts w:ascii="Times New Roman" w:eastAsia="Times New Roman" w:hAnsi="Times New Roman" w:cs="Times New Roman"/>
                <w:sz w:val="24"/>
                <w:szCs w:val="24"/>
                <w:lang w:eastAsia="pl-PL"/>
              </w:rPr>
              <w:t>b</w:t>
            </w:r>
            <w:r w:rsidR="005F6219" w:rsidRPr="008C7038">
              <w:rPr>
                <w:rFonts w:ascii="Times New Roman" w:eastAsia="Times New Roman" w:hAnsi="Times New Roman" w:cs="Times New Roman"/>
                <w:sz w:val="24"/>
                <w:szCs w:val="24"/>
                <w:lang w:eastAsia="pl-PL"/>
              </w:rPr>
              <w:t>lisko 95% przedsiębiorstw kontaktowało się z administracją publiczną elektronicznie. Tę formę komunikacji stosowały prawie wszystkie firmy duże i</w:t>
            </w:r>
            <w:r w:rsidR="007408E0" w:rsidRPr="008C7038">
              <w:rPr>
                <w:rFonts w:ascii="Times New Roman" w:eastAsia="Times New Roman" w:hAnsi="Times New Roman" w:cs="Times New Roman"/>
                <w:sz w:val="24"/>
                <w:szCs w:val="24"/>
                <w:lang w:eastAsia="pl-PL"/>
              </w:rPr>
              <w:t> </w:t>
            </w:r>
            <w:r w:rsidR="005F6219" w:rsidRPr="008C7038">
              <w:rPr>
                <w:rFonts w:ascii="Times New Roman" w:eastAsia="Times New Roman" w:hAnsi="Times New Roman" w:cs="Times New Roman"/>
                <w:sz w:val="24"/>
                <w:szCs w:val="24"/>
                <w:lang w:eastAsia="pl-PL"/>
              </w:rPr>
              <w:t>średnie.</w:t>
            </w:r>
          </w:p>
          <w:p w14:paraId="5677277A" w14:textId="77777777" w:rsidR="00260F33" w:rsidRPr="008C7038" w:rsidRDefault="00A41D3B"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Projekt wpłynie pozytywnie na </w:t>
            </w:r>
            <w:r w:rsidR="006477E7" w:rsidRPr="008C7038">
              <w:rPr>
                <w:rFonts w:ascii="Times New Roman" w:hAnsi="Times New Roman" w:cs="Times New Roman"/>
                <w:spacing w:val="-2"/>
                <w:sz w:val="24"/>
                <w:szCs w:val="24"/>
              </w:rPr>
              <w:t xml:space="preserve">przedsiębiorców </w:t>
            </w:r>
            <w:r w:rsidRPr="008C7038">
              <w:rPr>
                <w:rFonts w:ascii="Times New Roman" w:hAnsi="Times New Roman" w:cs="Times New Roman"/>
                <w:spacing w:val="-2"/>
                <w:sz w:val="24"/>
                <w:szCs w:val="24"/>
              </w:rPr>
              <w:t>poprzez zapewnienie im możliwości korzystania z elektronicznego doręczenia docelowo we wszystkich procedurach i postępowaniach z</w:t>
            </w:r>
            <w:r w:rsidR="00EC6F9D" w:rsidRPr="008C7038">
              <w:rPr>
                <w:rFonts w:ascii="Times New Roman" w:hAnsi="Times New Roman" w:cs="Times New Roman"/>
                <w:spacing w:val="-2"/>
                <w:sz w:val="24"/>
                <w:szCs w:val="24"/>
              </w:rPr>
              <w:t> </w:t>
            </w:r>
            <w:r w:rsidRPr="008C7038">
              <w:rPr>
                <w:rFonts w:ascii="Times New Roman" w:hAnsi="Times New Roman" w:cs="Times New Roman"/>
                <w:spacing w:val="-2"/>
                <w:sz w:val="24"/>
                <w:szCs w:val="24"/>
              </w:rPr>
              <w:t>podmiotami publicznymi.</w:t>
            </w:r>
          </w:p>
          <w:p w14:paraId="343252DB" w14:textId="77777777" w:rsidR="009B4F94" w:rsidRPr="008C7038" w:rsidRDefault="009B4F94"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Elektroniczna skrzynka doręczeń będzie też mogła być wykorzystywana przez przedsiębiorców w kontaktach</w:t>
            </w:r>
            <w:r w:rsidR="00D06140" w:rsidRPr="008C7038">
              <w:rPr>
                <w:rFonts w:ascii="Times New Roman" w:hAnsi="Times New Roman" w:cs="Times New Roman"/>
                <w:spacing w:val="-2"/>
                <w:sz w:val="24"/>
                <w:szCs w:val="24"/>
              </w:rPr>
              <w:t xml:space="preserve"> gospodarczych</w:t>
            </w:r>
            <w:r w:rsidRPr="008C7038">
              <w:rPr>
                <w:rFonts w:ascii="Times New Roman" w:hAnsi="Times New Roman" w:cs="Times New Roman"/>
                <w:spacing w:val="-2"/>
                <w:sz w:val="24"/>
                <w:szCs w:val="24"/>
              </w:rPr>
              <w:t xml:space="preserve">. </w:t>
            </w:r>
          </w:p>
        </w:tc>
      </w:tr>
      <w:tr w:rsidR="00260F33" w:rsidRPr="008C7038" w14:paraId="6C8B5796" w14:textId="77777777" w:rsidTr="008C7038">
        <w:trPr>
          <w:gridAfter w:val="2"/>
          <w:wAfter w:w="124" w:type="dxa"/>
          <w:trHeight w:val="142"/>
        </w:trPr>
        <w:tc>
          <w:tcPr>
            <w:tcW w:w="1841" w:type="dxa"/>
            <w:gridSpan w:val="2"/>
            <w:shd w:val="clear" w:color="auto" w:fill="auto"/>
          </w:tcPr>
          <w:p w14:paraId="0FC8D6C2" w14:textId="77777777" w:rsidR="003B2A22" w:rsidRPr="008C7038" w:rsidRDefault="005F621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Podmioty sektora publicznego</w:t>
            </w:r>
          </w:p>
        </w:tc>
        <w:tc>
          <w:tcPr>
            <w:tcW w:w="2105" w:type="dxa"/>
            <w:gridSpan w:val="7"/>
            <w:shd w:val="clear" w:color="auto" w:fill="auto"/>
          </w:tcPr>
          <w:p w14:paraId="26E394D0" w14:textId="77777777" w:rsidR="00260F33" w:rsidRPr="008C7038" w:rsidRDefault="00C75530"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ok</w:t>
            </w:r>
            <w:r w:rsidR="003B2A22" w:rsidRPr="008C7038">
              <w:rPr>
                <w:rFonts w:ascii="Times New Roman" w:hAnsi="Times New Roman" w:cs="Times New Roman"/>
                <w:sz w:val="24"/>
                <w:szCs w:val="24"/>
              </w:rPr>
              <w:t>. 68</w:t>
            </w:r>
            <w:r w:rsidRPr="008C7038">
              <w:rPr>
                <w:rFonts w:ascii="Times New Roman" w:hAnsi="Times New Roman" w:cs="Times New Roman"/>
                <w:sz w:val="24"/>
                <w:szCs w:val="24"/>
              </w:rPr>
              <w:t xml:space="preserve"> </w:t>
            </w:r>
            <w:r w:rsidR="003B2A22" w:rsidRPr="008C7038">
              <w:rPr>
                <w:rFonts w:ascii="Times New Roman" w:hAnsi="Times New Roman" w:cs="Times New Roman"/>
                <w:sz w:val="24"/>
                <w:szCs w:val="24"/>
              </w:rPr>
              <w:t>000</w:t>
            </w:r>
          </w:p>
        </w:tc>
        <w:tc>
          <w:tcPr>
            <w:tcW w:w="2391" w:type="dxa"/>
            <w:gridSpan w:val="7"/>
            <w:shd w:val="clear" w:color="auto" w:fill="auto"/>
          </w:tcPr>
          <w:p w14:paraId="03D0BC38" w14:textId="77777777" w:rsidR="00260F33" w:rsidRPr="008C7038" w:rsidRDefault="003B2A22"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Informacje o liczbie podmiotów</w:t>
            </w:r>
            <w:r w:rsidR="005A3C38" w:rsidRPr="008C7038">
              <w:rPr>
                <w:rFonts w:ascii="Times New Roman" w:hAnsi="Times New Roman" w:cs="Times New Roman"/>
                <w:sz w:val="24"/>
                <w:szCs w:val="24"/>
              </w:rPr>
              <w:t xml:space="preserve"> – </w:t>
            </w:r>
            <w:r w:rsidRPr="008C7038">
              <w:rPr>
                <w:rFonts w:ascii="Times New Roman" w:hAnsi="Times New Roman" w:cs="Times New Roman"/>
                <w:sz w:val="24"/>
                <w:szCs w:val="24"/>
              </w:rPr>
              <w:t>według stanu rejestru REGON na dzień 30</w:t>
            </w:r>
            <w:r w:rsidR="005A3C38" w:rsidRPr="008C7038">
              <w:rPr>
                <w:rFonts w:ascii="Times New Roman" w:hAnsi="Times New Roman" w:cs="Times New Roman"/>
                <w:sz w:val="24"/>
                <w:szCs w:val="24"/>
              </w:rPr>
              <w:t xml:space="preserve"> czerwca </w:t>
            </w:r>
            <w:r w:rsidRPr="008C7038">
              <w:rPr>
                <w:rFonts w:ascii="Times New Roman" w:hAnsi="Times New Roman" w:cs="Times New Roman"/>
                <w:sz w:val="24"/>
                <w:szCs w:val="24"/>
              </w:rPr>
              <w:t>2017 r.</w:t>
            </w:r>
          </w:p>
        </w:tc>
        <w:tc>
          <w:tcPr>
            <w:tcW w:w="4495" w:type="dxa"/>
            <w:gridSpan w:val="11"/>
            <w:shd w:val="clear" w:color="auto" w:fill="auto"/>
          </w:tcPr>
          <w:p w14:paraId="79D15CD9" w14:textId="77777777" w:rsidR="006E5488" w:rsidRPr="008C7038" w:rsidRDefault="009B4F94" w:rsidP="00052A6C">
            <w:pPr>
              <w:spacing w:after="120"/>
              <w:rPr>
                <w:rFonts w:ascii="Times New Roman" w:hAnsi="Times New Roman" w:cs="Times New Roman"/>
                <w:bCs/>
                <w:spacing w:val="-2"/>
                <w:sz w:val="24"/>
                <w:szCs w:val="24"/>
              </w:rPr>
            </w:pPr>
            <w:r w:rsidRPr="008C7038">
              <w:rPr>
                <w:rFonts w:ascii="Times New Roman" w:hAnsi="Times New Roman" w:cs="Times New Roman"/>
                <w:bCs/>
                <w:spacing w:val="-2"/>
                <w:sz w:val="24"/>
                <w:szCs w:val="24"/>
              </w:rPr>
              <w:t xml:space="preserve">Projekt przewiduje wprowadzenie </w:t>
            </w:r>
            <w:r w:rsidR="00106634" w:rsidRPr="008C7038">
              <w:rPr>
                <w:rFonts w:ascii="Times New Roman" w:hAnsi="Times New Roman" w:cs="Times New Roman"/>
                <w:bCs/>
                <w:spacing w:val="-2"/>
                <w:sz w:val="24"/>
                <w:szCs w:val="24"/>
              </w:rPr>
              <w:t xml:space="preserve">dla podmiotów publicznych </w:t>
            </w:r>
            <w:r w:rsidR="00D06140" w:rsidRPr="008C7038">
              <w:rPr>
                <w:rFonts w:ascii="Times New Roman" w:hAnsi="Times New Roman" w:cs="Times New Roman"/>
                <w:bCs/>
                <w:spacing w:val="-2"/>
                <w:sz w:val="24"/>
                <w:szCs w:val="24"/>
              </w:rPr>
              <w:t xml:space="preserve">obowiązku </w:t>
            </w:r>
            <w:r w:rsidRPr="008C7038">
              <w:rPr>
                <w:rFonts w:ascii="Times New Roman" w:hAnsi="Times New Roman" w:cs="Times New Roman"/>
                <w:bCs/>
                <w:spacing w:val="-2"/>
                <w:sz w:val="24"/>
                <w:szCs w:val="24"/>
              </w:rPr>
              <w:t>doręczania elektroniczn</w:t>
            </w:r>
            <w:r w:rsidR="00D06140" w:rsidRPr="008C7038">
              <w:rPr>
                <w:rFonts w:ascii="Times New Roman" w:hAnsi="Times New Roman" w:cs="Times New Roman"/>
                <w:bCs/>
                <w:spacing w:val="-2"/>
                <w:sz w:val="24"/>
                <w:szCs w:val="24"/>
              </w:rPr>
              <w:t>ego</w:t>
            </w:r>
            <w:r w:rsidRPr="008C7038">
              <w:rPr>
                <w:rFonts w:ascii="Times New Roman" w:hAnsi="Times New Roman" w:cs="Times New Roman"/>
                <w:bCs/>
                <w:spacing w:val="-2"/>
                <w:sz w:val="24"/>
                <w:szCs w:val="24"/>
              </w:rPr>
              <w:t xml:space="preserve"> do </w:t>
            </w:r>
            <w:r w:rsidR="007C5FB9" w:rsidRPr="008C7038">
              <w:rPr>
                <w:rFonts w:ascii="Times New Roman" w:hAnsi="Times New Roman" w:cs="Times New Roman"/>
                <w:bCs/>
                <w:spacing w:val="-2"/>
                <w:sz w:val="24"/>
                <w:szCs w:val="24"/>
              </w:rPr>
              <w:t xml:space="preserve">innych </w:t>
            </w:r>
            <w:r w:rsidRPr="008C7038">
              <w:rPr>
                <w:rFonts w:ascii="Times New Roman" w:hAnsi="Times New Roman" w:cs="Times New Roman"/>
                <w:bCs/>
                <w:spacing w:val="-2"/>
                <w:sz w:val="24"/>
                <w:szCs w:val="24"/>
              </w:rPr>
              <w:t xml:space="preserve">podmiotów </w:t>
            </w:r>
            <w:r w:rsidR="00D06140" w:rsidRPr="008C7038">
              <w:rPr>
                <w:rFonts w:ascii="Times New Roman" w:hAnsi="Times New Roman" w:cs="Times New Roman"/>
                <w:bCs/>
                <w:spacing w:val="-2"/>
                <w:sz w:val="24"/>
                <w:szCs w:val="24"/>
              </w:rPr>
              <w:t xml:space="preserve">publicznych oraz </w:t>
            </w:r>
            <w:r w:rsidR="007C5FB9" w:rsidRPr="008C7038">
              <w:rPr>
                <w:rFonts w:ascii="Times New Roman" w:hAnsi="Times New Roman" w:cs="Times New Roman"/>
                <w:bCs/>
                <w:spacing w:val="-2"/>
                <w:sz w:val="24"/>
                <w:szCs w:val="24"/>
              </w:rPr>
              <w:t xml:space="preserve">do </w:t>
            </w:r>
            <w:r w:rsidRPr="008C7038">
              <w:rPr>
                <w:rFonts w:ascii="Times New Roman" w:hAnsi="Times New Roman" w:cs="Times New Roman"/>
                <w:bCs/>
                <w:spacing w:val="-2"/>
                <w:sz w:val="24"/>
                <w:szCs w:val="24"/>
              </w:rPr>
              <w:t>obywateli</w:t>
            </w:r>
            <w:r w:rsidR="00D06140" w:rsidRPr="008C7038">
              <w:rPr>
                <w:rFonts w:ascii="Times New Roman" w:hAnsi="Times New Roman" w:cs="Times New Roman"/>
                <w:bCs/>
                <w:spacing w:val="-2"/>
                <w:sz w:val="24"/>
                <w:szCs w:val="24"/>
              </w:rPr>
              <w:t xml:space="preserve"> i</w:t>
            </w:r>
            <w:r w:rsidR="00D11715" w:rsidRPr="008C7038">
              <w:rPr>
                <w:rFonts w:ascii="Times New Roman" w:hAnsi="Times New Roman" w:cs="Times New Roman"/>
                <w:bCs/>
                <w:spacing w:val="-2"/>
                <w:sz w:val="24"/>
                <w:szCs w:val="24"/>
              </w:rPr>
              <w:t> </w:t>
            </w:r>
            <w:r w:rsidRPr="008C7038">
              <w:rPr>
                <w:rFonts w:ascii="Times New Roman" w:hAnsi="Times New Roman" w:cs="Times New Roman"/>
                <w:bCs/>
                <w:spacing w:val="-2"/>
                <w:sz w:val="24"/>
                <w:szCs w:val="24"/>
              </w:rPr>
              <w:t>przedsiębiorców, któr</w:t>
            </w:r>
            <w:r w:rsidR="00D06140" w:rsidRPr="008C7038">
              <w:rPr>
                <w:rFonts w:ascii="Times New Roman" w:hAnsi="Times New Roman" w:cs="Times New Roman"/>
                <w:bCs/>
                <w:spacing w:val="-2"/>
                <w:sz w:val="24"/>
                <w:szCs w:val="24"/>
              </w:rPr>
              <w:t>zy</w:t>
            </w:r>
            <w:r w:rsidRPr="008C7038">
              <w:rPr>
                <w:rFonts w:ascii="Times New Roman" w:hAnsi="Times New Roman" w:cs="Times New Roman"/>
                <w:bCs/>
                <w:spacing w:val="-2"/>
                <w:sz w:val="24"/>
                <w:szCs w:val="24"/>
              </w:rPr>
              <w:t xml:space="preserve"> </w:t>
            </w:r>
            <w:r w:rsidR="00946A09" w:rsidRPr="008C7038">
              <w:rPr>
                <w:rFonts w:ascii="Times New Roman" w:hAnsi="Times New Roman" w:cs="Times New Roman"/>
                <w:bCs/>
                <w:spacing w:val="-2"/>
                <w:sz w:val="24"/>
                <w:szCs w:val="24"/>
              </w:rPr>
              <w:t>zdecydują się na</w:t>
            </w:r>
            <w:r w:rsidR="00D11715" w:rsidRPr="008C7038">
              <w:rPr>
                <w:rFonts w:ascii="Times New Roman" w:hAnsi="Times New Roman" w:cs="Times New Roman"/>
                <w:bCs/>
                <w:spacing w:val="-2"/>
                <w:sz w:val="24"/>
                <w:szCs w:val="24"/>
              </w:rPr>
              <w:t> </w:t>
            </w:r>
            <w:r w:rsidR="00946A09" w:rsidRPr="008C7038">
              <w:rPr>
                <w:rFonts w:ascii="Times New Roman" w:hAnsi="Times New Roman" w:cs="Times New Roman"/>
                <w:bCs/>
                <w:spacing w:val="-2"/>
                <w:sz w:val="24"/>
                <w:szCs w:val="24"/>
              </w:rPr>
              <w:t>wprowadzenie takiej możliwości komunikacji</w:t>
            </w:r>
            <w:r w:rsidR="00D06140" w:rsidRPr="008C7038">
              <w:rPr>
                <w:rFonts w:ascii="Times New Roman" w:hAnsi="Times New Roman" w:cs="Times New Roman"/>
                <w:bCs/>
                <w:spacing w:val="-2"/>
                <w:sz w:val="24"/>
                <w:szCs w:val="24"/>
              </w:rPr>
              <w:t xml:space="preserve"> i uzyska</w:t>
            </w:r>
            <w:r w:rsidR="00CC1102" w:rsidRPr="008C7038">
              <w:rPr>
                <w:rFonts w:ascii="Times New Roman" w:hAnsi="Times New Roman" w:cs="Times New Roman"/>
                <w:bCs/>
                <w:spacing w:val="-2"/>
                <w:sz w:val="24"/>
                <w:szCs w:val="24"/>
              </w:rPr>
              <w:t>ją</w:t>
            </w:r>
            <w:r w:rsidR="00D06140" w:rsidRPr="008C7038">
              <w:rPr>
                <w:rFonts w:ascii="Times New Roman" w:hAnsi="Times New Roman" w:cs="Times New Roman"/>
                <w:bCs/>
                <w:spacing w:val="-2"/>
                <w:sz w:val="24"/>
                <w:szCs w:val="24"/>
              </w:rPr>
              <w:t xml:space="preserve"> wpis do Bazy Adresów Elektronicznych.</w:t>
            </w:r>
          </w:p>
          <w:p w14:paraId="6FE3ECFC" w14:textId="77777777" w:rsidR="005D5D93" w:rsidRPr="008C7038" w:rsidRDefault="00D06140" w:rsidP="00052A6C">
            <w:pPr>
              <w:spacing w:after="120"/>
              <w:rPr>
                <w:rFonts w:ascii="Times New Roman" w:hAnsi="Times New Roman" w:cs="Times New Roman"/>
                <w:bCs/>
                <w:spacing w:val="-2"/>
                <w:sz w:val="24"/>
                <w:szCs w:val="24"/>
              </w:rPr>
            </w:pPr>
            <w:r w:rsidRPr="008C7038">
              <w:rPr>
                <w:rFonts w:ascii="Times New Roman" w:hAnsi="Times New Roman" w:cs="Times New Roman"/>
                <w:bCs/>
                <w:spacing w:val="-2"/>
                <w:sz w:val="24"/>
                <w:szCs w:val="24"/>
              </w:rPr>
              <w:t>Nastąpi</w:t>
            </w:r>
            <w:r w:rsidR="00E42B2F" w:rsidRPr="008C7038">
              <w:rPr>
                <w:rFonts w:ascii="Times New Roman" w:hAnsi="Times New Roman" w:cs="Times New Roman"/>
                <w:bCs/>
                <w:spacing w:val="-2"/>
                <w:sz w:val="24"/>
                <w:szCs w:val="24"/>
              </w:rPr>
              <w:t>ą zmiany w zakresie weryfikacji obowiązku realizacji doręczenia drogą elektroniczną. Zamiast obecnie stosowanych wymogów zależnych od rodzaju sprawy oraz</w:t>
            </w:r>
            <w:r w:rsidR="00857702" w:rsidRPr="008C7038">
              <w:rPr>
                <w:rFonts w:ascii="Times New Roman" w:hAnsi="Times New Roman" w:cs="Times New Roman"/>
                <w:bCs/>
                <w:spacing w:val="-2"/>
                <w:sz w:val="24"/>
                <w:szCs w:val="24"/>
              </w:rPr>
              <w:t> </w:t>
            </w:r>
            <w:r w:rsidR="00E42B2F" w:rsidRPr="008C7038">
              <w:rPr>
                <w:rFonts w:ascii="Times New Roman" w:hAnsi="Times New Roman" w:cs="Times New Roman"/>
                <w:bCs/>
                <w:spacing w:val="-2"/>
                <w:sz w:val="24"/>
                <w:szCs w:val="24"/>
              </w:rPr>
              <w:t>wyrażonego przez adresata żądania lub</w:t>
            </w:r>
            <w:r w:rsidR="00857702" w:rsidRPr="008C7038">
              <w:rPr>
                <w:rFonts w:ascii="Times New Roman" w:hAnsi="Times New Roman" w:cs="Times New Roman"/>
                <w:bCs/>
                <w:spacing w:val="-2"/>
                <w:sz w:val="24"/>
                <w:szCs w:val="24"/>
              </w:rPr>
              <w:t> </w:t>
            </w:r>
            <w:r w:rsidR="00E42B2F" w:rsidRPr="008C7038">
              <w:rPr>
                <w:rFonts w:ascii="Times New Roman" w:hAnsi="Times New Roman" w:cs="Times New Roman"/>
                <w:bCs/>
                <w:spacing w:val="-2"/>
                <w:sz w:val="24"/>
                <w:szCs w:val="24"/>
              </w:rPr>
              <w:t>zgody na doręczenie elektroniczne, weryfikacja będzie następowała przez sprawdzenie wpisu w Bazie Adresów Elektronicznych.</w:t>
            </w:r>
          </w:p>
          <w:p w14:paraId="16077F01" w14:textId="77777777" w:rsidR="00F84EBB" w:rsidRPr="008C7038" w:rsidRDefault="009B4F94" w:rsidP="00052A6C">
            <w:pPr>
              <w:spacing w:after="120"/>
              <w:rPr>
                <w:rFonts w:ascii="Times New Roman" w:hAnsi="Times New Roman" w:cs="Times New Roman"/>
                <w:bCs/>
                <w:spacing w:val="-2"/>
                <w:sz w:val="24"/>
                <w:szCs w:val="24"/>
              </w:rPr>
            </w:pPr>
            <w:r w:rsidRPr="008C7038">
              <w:rPr>
                <w:rFonts w:ascii="Times New Roman" w:hAnsi="Times New Roman" w:cs="Times New Roman"/>
                <w:bCs/>
                <w:spacing w:val="-2"/>
                <w:sz w:val="24"/>
                <w:szCs w:val="24"/>
              </w:rPr>
              <w:t>Wprowadzone rozwiązanie</w:t>
            </w:r>
            <w:r w:rsidR="00946A09" w:rsidRPr="008C7038">
              <w:rPr>
                <w:rFonts w:ascii="Times New Roman" w:hAnsi="Times New Roman" w:cs="Times New Roman"/>
                <w:bCs/>
                <w:spacing w:val="-2"/>
                <w:sz w:val="24"/>
                <w:szCs w:val="24"/>
              </w:rPr>
              <w:t xml:space="preserve"> może wpłynąć na</w:t>
            </w:r>
            <w:r w:rsidR="00857702" w:rsidRPr="008C7038">
              <w:rPr>
                <w:rFonts w:ascii="Times New Roman" w:hAnsi="Times New Roman" w:cs="Times New Roman"/>
                <w:bCs/>
                <w:spacing w:val="-2"/>
                <w:sz w:val="24"/>
                <w:szCs w:val="24"/>
              </w:rPr>
              <w:t> </w:t>
            </w:r>
            <w:r w:rsidR="00946A09" w:rsidRPr="008C7038">
              <w:rPr>
                <w:rFonts w:ascii="Times New Roman" w:hAnsi="Times New Roman" w:cs="Times New Roman"/>
                <w:bCs/>
                <w:spacing w:val="-2"/>
                <w:sz w:val="24"/>
                <w:szCs w:val="24"/>
              </w:rPr>
              <w:t xml:space="preserve">skrócenie </w:t>
            </w:r>
            <w:r w:rsidRPr="008C7038">
              <w:rPr>
                <w:rFonts w:ascii="Times New Roman" w:hAnsi="Times New Roman" w:cs="Times New Roman"/>
                <w:bCs/>
                <w:spacing w:val="-2"/>
                <w:sz w:val="24"/>
                <w:szCs w:val="24"/>
              </w:rPr>
              <w:t>okres</w:t>
            </w:r>
            <w:r w:rsidR="00946A09" w:rsidRPr="008C7038">
              <w:rPr>
                <w:rFonts w:ascii="Times New Roman" w:hAnsi="Times New Roman" w:cs="Times New Roman"/>
                <w:bCs/>
                <w:spacing w:val="-2"/>
                <w:sz w:val="24"/>
                <w:szCs w:val="24"/>
              </w:rPr>
              <w:t>u</w:t>
            </w:r>
            <w:r w:rsidRPr="008C7038">
              <w:rPr>
                <w:rFonts w:ascii="Times New Roman" w:hAnsi="Times New Roman" w:cs="Times New Roman"/>
                <w:bCs/>
                <w:spacing w:val="-2"/>
                <w:sz w:val="24"/>
                <w:szCs w:val="24"/>
              </w:rPr>
              <w:t xml:space="preserve"> prowadzenia </w:t>
            </w:r>
            <w:r w:rsidR="00597824" w:rsidRPr="008C7038">
              <w:rPr>
                <w:rFonts w:ascii="Times New Roman" w:hAnsi="Times New Roman" w:cs="Times New Roman"/>
                <w:bCs/>
                <w:spacing w:val="-2"/>
                <w:sz w:val="24"/>
                <w:szCs w:val="24"/>
              </w:rPr>
              <w:t xml:space="preserve">postępowań </w:t>
            </w:r>
            <w:r w:rsidRPr="008C7038">
              <w:rPr>
                <w:rFonts w:ascii="Times New Roman" w:hAnsi="Times New Roman" w:cs="Times New Roman"/>
                <w:bCs/>
                <w:spacing w:val="-2"/>
                <w:sz w:val="24"/>
                <w:szCs w:val="24"/>
              </w:rPr>
              <w:t>ze względu na uzyskaną pewność doręczeń.</w:t>
            </w:r>
          </w:p>
          <w:p w14:paraId="389FFBCA" w14:textId="77777777" w:rsidR="006E5488" w:rsidRPr="008C7038" w:rsidRDefault="00946A09" w:rsidP="00052A6C">
            <w:pPr>
              <w:spacing w:after="120"/>
              <w:rPr>
                <w:rFonts w:ascii="Times New Roman" w:hAnsi="Times New Roman" w:cs="Times New Roman"/>
                <w:bCs/>
                <w:spacing w:val="-2"/>
                <w:sz w:val="24"/>
                <w:szCs w:val="24"/>
              </w:rPr>
            </w:pPr>
            <w:r w:rsidRPr="008C7038">
              <w:rPr>
                <w:rFonts w:ascii="Times New Roman" w:hAnsi="Times New Roman" w:cs="Times New Roman"/>
                <w:spacing w:val="-2"/>
                <w:sz w:val="24"/>
                <w:szCs w:val="24"/>
              </w:rPr>
              <w:t xml:space="preserve">Podmioty publiczne (w tym sądy), </w:t>
            </w:r>
            <w:r w:rsidR="00E42B2F" w:rsidRPr="008C7038">
              <w:rPr>
                <w:rFonts w:ascii="Times New Roman" w:hAnsi="Times New Roman" w:cs="Times New Roman"/>
                <w:spacing w:val="-2"/>
                <w:sz w:val="24"/>
                <w:szCs w:val="24"/>
              </w:rPr>
              <w:t xml:space="preserve">korzystające z </w:t>
            </w:r>
            <w:r w:rsidRPr="008C7038">
              <w:rPr>
                <w:rFonts w:ascii="Times New Roman" w:hAnsi="Times New Roman" w:cs="Times New Roman"/>
                <w:spacing w:val="-2"/>
                <w:sz w:val="24"/>
                <w:szCs w:val="24"/>
              </w:rPr>
              <w:t xml:space="preserve">rozwiązania </w:t>
            </w:r>
            <w:r w:rsidR="006E5488" w:rsidRPr="008C7038">
              <w:rPr>
                <w:rFonts w:ascii="Times New Roman" w:hAnsi="Times New Roman" w:cs="Times New Roman"/>
                <w:spacing w:val="-2"/>
                <w:sz w:val="24"/>
                <w:szCs w:val="24"/>
              </w:rPr>
              <w:t>uzyskają natychmiastowy dostęp do adresów</w:t>
            </w:r>
            <w:r w:rsidR="00E42B2F" w:rsidRPr="008C7038">
              <w:rPr>
                <w:rFonts w:ascii="Times New Roman" w:hAnsi="Times New Roman" w:cs="Times New Roman"/>
                <w:spacing w:val="-2"/>
                <w:sz w:val="24"/>
                <w:szCs w:val="24"/>
              </w:rPr>
              <w:t xml:space="preserve"> elektronicznych </w:t>
            </w:r>
            <w:r w:rsidR="006E5488" w:rsidRPr="008C7038">
              <w:rPr>
                <w:rFonts w:ascii="Times New Roman" w:hAnsi="Times New Roman" w:cs="Times New Roman"/>
                <w:spacing w:val="-2"/>
                <w:sz w:val="24"/>
                <w:szCs w:val="24"/>
              </w:rPr>
              <w:t xml:space="preserve">dużej liczby klientów </w:t>
            </w:r>
            <w:r w:rsidR="006E5488" w:rsidRPr="008C7038">
              <w:rPr>
                <w:rFonts w:ascii="Times New Roman" w:hAnsi="Times New Roman" w:cs="Times New Roman"/>
                <w:spacing w:val="-2"/>
                <w:sz w:val="24"/>
                <w:szCs w:val="24"/>
              </w:rPr>
              <w:lastRenderedPageBreak/>
              <w:t xml:space="preserve">zidentyfikowanych już wcześniej w usługach </w:t>
            </w:r>
            <w:r w:rsidR="00597824" w:rsidRPr="008C7038">
              <w:rPr>
                <w:rFonts w:ascii="Times New Roman" w:hAnsi="Times New Roman" w:cs="Times New Roman"/>
                <w:spacing w:val="-2"/>
                <w:sz w:val="24"/>
                <w:szCs w:val="24"/>
              </w:rPr>
              <w:t>publicznych</w:t>
            </w:r>
            <w:r w:rsidR="00126BB1" w:rsidRPr="008C7038">
              <w:rPr>
                <w:rFonts w:ascii="Times New Roman" w:hAnsi="Times New Roman" w:cs="Times New Roman"/>
                <w:spacing w:val="-2"/>
                <w:sz w:val="24"/>
                <w:szCs w:val="24"/>
              </w:rPr>
              <w:t xml:space="preserve"> jeżeli zgodzili się oni na utworzenie ESD</w:t>
            </w:r>
            <w:r w:rsidR="00597824" w:rsidRPr="008C7038">
              <w:rPr>
                <w:rFonts w:ascii="Times New Roman" w:hAnsi="Times New Roman" w:cs="Times New Roman"/>
                <w:spacing w:val="-2"/>
                <w:sz w:val="24"/>
                <w:szCs w:val="24"/>
              </w:rPr>
              <w:t>.</w:t>
            </w:r>
          </w:p>
        </w:tc>
      </w:tr>
      <w:tr w:rsidR="00260F33" w:rsidRPr="008C7038" w14:paraId="4AC54D01" w14:textId="77777777" w:rsidTr="008C7038">
        <w:trPr>
          <w:gridAfter w:val="2"/>
          <w:wAfter w:w="124" w:type="dxa"/>
          <w:trHeight w:val="142"/>
        </w:trPr>
        <w:tc>
          <w:tcPr>
            <w:tcW w:w="1841" w:type="dxa"/>
            <w:gridSpan w:val="2"/>
            <w:shd w:val="clear" w:color="auto" w:fill="auto"/>
          </w:tcPr>
          <w:p w14:paraId="38AC0237" w14:textId="77777777" w:rsidR="00260F33" w:rsidRPr="008C7038" w:rsidRDefault="003B2A22"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lastRenderedPageBreak/>
              <w:t>Sądy powszechne</w:t>
            </w:r>
            <w:r w:rsidR="00067DFD" w:rsidRPr="008C7038">
              <w:rPr>
                <w:rFonts w:ascii="Times New Roman" w:hAnsi="Times New Roman" w:cs="Times New Roman"/>
                <w:sz w:val="24"/>
                <w:szCs w:val="24"/>
              </w:rPr>
              <w:t>,</w:t>
            </w:r>
            <w:r w:rsidRPr="008C7038">
              <w:rPr>
                <w:rFonts w:ascii="Times New Roman" w:hAnsi="Times New Roman" w:cs="Times New Roman"/>
                <w:sz w:val="24"/>
                <w:szCs w:val="24"/>
              </w:rPr>
              <w:t xml:space="preserve"> </w:t>
            </w:r>
          </w:p>
          <w:p w14:paraId="39DDC109" w14:textId="77777777" w:rsidR="003B2A22" w:rsidRPr="008C7038" w:rsidRDefault="003B2A22"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t>Sąd Najwyższy</w:t>
            </w:r>
            <w:r w:rsidR="00067DFD" w:rsidRPr="008C7038">
              <w:rPr>
                <w:rFonts w:ascii="Times New Roman" w:hAnsi="Times New Roman" w:cs="Times New Roman"/>
                <w:sz w:val="24"/>
                <w:szCs w:val="24"/>
              </w:rPr>
              <w:t>,</w:t>
            </w:r>
          </w:p>
          <w:p w14:paraId="0B4353EF" w14:textId="77777777" w:rsidR="003B2A22" w:rsidRPr="008C7038" w:rsidRDefault="003D0EEE"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t>w</w:t>
            </w:r>
            <w:r w:rsidR="003B2A22" w:rsidRPr="008C7038">
              <w:rPr>
                <w:rFonts w:ascii="Times New Roman" w:hAnsi="Times New Roman" w:cs="Times New Roman"/>
                <w:sz w:val="24"/>
                <w:szCs w:val="24"/>
              </w:rPr>
              <w:t xml:space="preserve">ojewódzkie </w:t>
            </w:r>
            <w:r w:rsidRPr="008C7038">
              <w:rPr>
                <w:rFonts w:ascii="Times New Roman" w:hAnsi="Times New Roman" w:cs="Times New Roman"/>
                <w:sz w:val="24"/>
                <w:szCs w:val="24"/>
              </w:rPr>
              <w:t>s</w:t>
            </w:r>
            <w:r w:rsidR="003B2A22" w:rsidRPr="008C7038">
              <w:rPr>
                <w:rFonts w:ascii="Times New Roman" w:hAnsi="Times New Roman" w:cs="Times New Roman"/>
                <w:sz w:val="24"/>
                <w:szCs w:val="24"/>
              </w:rPr>
              <w:t xml:space="preserve">ądy </w:t>
            </w:r>
            <w:r w:rsidRPr="008C7038">
              <w:rPr>
                <w:rFonts w:ascii="Times New Roman" w:hAnsi="Times New Roman" w:cs="Times New Roman"/>
                <w:sz w:val="24"/>
                <w:szCs w:val="24"/>
              </w:rPr>
              <w:t>a</w:t>
            </w:r>
            <w:r w:rsidR="003B2A22" w:rsidRPr="008C7038">
              <w:rPr>
                <w:rFonts w:ascii="Times New Roman" w:hAnsi="Times New Roman" w:cs="Times New Roman"/>
                <w:sz w:val="24"/>
                <w:szCs w:val="24"/>
              </w:rPr>
              <w:t>dministracyjne i Naczelny Sąd Administracyjny</w:t>
            </w:r>
          </w:p>
        </w:tc>
        <w:tc>
          <w:tcPr>
            <w:tcW w:w="2105" w:type="dxa"/>
            <w:gridSpan w:val="7"/>
            <w:shd w:val="clear" w:color="auto" w:fill="auto"/>
          </w:tcPr>
          <w:p w14:paraId="30F7AD40" w14:textId="77777777" w:rsidR="00067DFD" w:rsidRPr="008C7038" w:rsidRDefault="00AB63A2" w:rsidP="00052A6C">
            <w:pPr>
              <w:spacing w:after="120"/>
              <w:rPr>
                <w:rFonts w:ascii="Times New Roman" w:hAnsi="Times New Roman" w:cs="Times New Roman"/>
                <w:sz w:val="24"/>
                <w:szCs w:val="24"/>
              </w:rPr>
            </w:pPr>
            <w:r w:rsidRPr="008C7038">
              <w:rPr>
                <w:rFonts w:ascii="Times New Roman" w:hAnsi="Times New Roman" w:cs="Times New Roman"/>
                <w:sz w:val="24"/>
                <w:szCs w:val="24"/>
              </w:rPr>
              <w:t>317 sądów rejonowych</w:t>
            </w:r>
          </w:p>
          <w:p w14:paraId="28BE3749" w14:textId="77777777" w:rsidR="00067DFD" w:rsidRPr="008C7038" w:rsidRDefault="003B2A22" w:rsidP="00052A6C">
            <w:pPr>
              <w:spacing w:after="120"/>
              <w:rPr>
                <w:rFonts w:ascii="Times New Roman" w:hAnsi="Times New Roman" w:cs="Times New Roman"/>
                <w:sz w:val="24"/>
                <w:szCs w:val="24"/>
              </w:rPr>
            </w:pPr>
            <w:r w:rsidRPr="008C7038">
              <w:rPr>
                <w:rFonts w:ascii="Times New Roman" w:hAnsi="Times New Roman" w:cs="Times New Roman"/>
                <w:sz w:val="24"/>
                <w:szCs w:val="24"/>
              </w:rPr>
              <w:t xml:space="preserve">45 </w:t>
            </w:r>
            <w:r w:rsidR="00067DFD" w:rsidRPr="008C7038">
              <w:rPr>
                <w:rFonts w:ascii="Times New Roman" w:hAnsi="Times New Roman" w:cs="Times New Roman"/>
                <w:sz w:val="24"/>
                <w:szCs w:val="24"/>
              </w:rPr>
              <w:t>sądów okręgowych</w:t>
            </w:r>
          </w:p>
          <w:p w14:paraId="245BA67D" w14:textId="77777777" w:rsidR="00260F33" w:rsidRPr="008C7038" w:rsidRDefault="003B2A22" w:rsidP="00052A6C">
            <w:pPr>
              <w:spacing w:after="120"/>
              <w:rPr>
                <w:rFonts w:ascii="Times New Roman" w:hAnsi="Times New Roman" w:cs="Times New Roman"/>
                <w:sz w:val="24"/>
                <w:szCs w:val="24"/>
              </w:rPr>
            </w:pPr>
            <w:r w:rsidRPr="008C7038">
              <w:rPr>
                <w:rFonts w:ascii="Times New Roman" w:hAnsi="Times New Roman" w:cs="Times New Roman"/>
                <w:sz w:val="24"/>
                <w:szCs w:val="24"/>
              </w:rPr>
              <w:t>11 sądów apelacyjnych</w:t>
            </w:r>
          </w:p>
          <w:p w14:paraId="6B0EE160" w14:textId="77777777" w:rsidR="003B2A22" w:rsidRPr="008C7038" w:rsidRDefault="003B2A22" w:rsidP="00052A6C">
            <w:pPr>
              <w:spacing w:after="120"/>
              <w:rPr>
                <w:rFonts w:ascii="Times New Roman" w:hAnsi="Times New Roman" w:cs="Times New Roman"/>
                <w:sz w:val="24"/>
                <w:szCs w:val="24"/>
              </w:rPr>
            </w:pPr>
            <w:r w:rsidRPr="008C7038">
              <w:rPr>
                <w:rFonts w:ascii="Times New Roman" w:hAnsi="Times New Roman" w:cs="Times New Roman"/>
                <w:sz w:val="24"/>
                <w:szCs w:val="24"/>
              </w:rPr>
              <w:t>Sąd Najwyższy</w:t>
            </w:r>
          </w:p>
          <w:p w14:paraId="34E90328" w14:textId="77777777" w:rsidR="00067DFD" w:rsidRPr="008C7038" w:rsidRDefault="003B2A22"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 xml:space="preserve">16 </w:t>
            </w:r>
            <w:r w:rsidR="003D0EEE" w:rsidRPr="008C7038">
              <w:rPr>
                <w:rFonts w:ascii="Times New Roman" w:hAnsi="Times New Roman" w:cs="Times New Roman"/>
                <w:sz w:val="24"/>
                <w:szCs w:val="24"/>
              </w:rPr>
              <w:t>w</w:t>
            </w:r>
            <w:r w:rsidRPr="008C7038">
              <w:rPr>
                <w:rFonts w:ascii="Times New Roman" w:hAnsi="Times New Roman" w:cs="Times New Roman"/>
                <w:sz w:val="24"/>
                <w:szCs w:val="24"/>
              </w:rPr>
              <w:t xml:space="preserve">ojewódzkich </w:t>
            </w:r>
            <w:r w:rsidR="003D0EEE" w:rsidRPr="008C7038">
              <w:rPr>
                <w:rFonts w:ascii="Times New Roman" w:hAnsi="Times New Roman" w:cs="Times New Roman"/>
                <w:sz w:val="24"/>
                <w:szCs w:val="24"/>
              </w:rPr>
              <w:t>s</w:t>
            </w:r>
            <w:r w:rsidRPr="008C7038">
              <w:rPr>
                <w:rFonts w:ascii="Times New Roman" w:hAnsi="Times New Roman" w:cs="Times New Roman"/>
                <w:sz w:val="24"/>
                <w:szCs w:val="24"/>
              </w:rPr>
              <w:t xml:space="preserve">ądów </w:t>
            </w:r>
            <w:r w:rsidR="003D0EEE" w:rsidRPr="008C7038">
              <w:rPr>
                <w:rFonts w:ascii="Times New Roman" w:hAnsi="Times New Roman" w:cs="Times New Roman"/>
                <w:sz w:val="24"/>
                <w:szCs w:val="24"/>
              </w:rPr>
              <w:t>a</w:t>
            </w:r>
            <w:r w:rsidRPr="008C7038">
              <w:rPr>
                <w:rFonts w:ascii="Times New Roman" w:hAnsi="Times New Roman" w:cs="Times New Roman"/>
                <w:sz w:val="24"/>
                <w:szCs w:val="24"/>
              </w:rPr>
              <w:t>dministracyjnych</w:t>
            </w:r>
          </w:p>
          <w:p w14:paraId="6A2AE2EE" w14:textId="77777777" w:rsidR="003B2A22" w:rsidRPr="008C7038" w:rsidRDefault="003B2A22"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Naczelny Sąd Administracyjny</w:t>
            </w:r>
          </w:p>
        </w:tc>
        <w:tc>
          <w:tcPr>
            <w:tcW w:w="2391" w:type="dxa"/>
            <w:gridSpan w:val="7"/>
            <w:shd w:val="clear" w:color="auto" w:fill="auto"/>
          </w:tcPr>
          <w:p w14:paraId="0A50B6A8" w14:textId="77777777" w:rsidR="00260F33" w:rsidRPr="008C7038" w:rsidRDefault="00260F33" w:rsidP="00052A6C">
            <w:pPr>
              <w:spacing w:after="120"/>
              <w:rPr>
                <w:rFonts w:ascii="Times New Roman" w:hAnsi="Times New Roman" w:cs="Times New Roman"/>
                <w:spacing w:val="-2"/>
                <w:sz w:val="24"/>
                <w:szCs w:val="24"/>
              </w:rPr>
            </w:pPr>
          </w:p>
        </w:tc>
        <w:tc>
          <w:tcPr>
            <w:tcW w:w="4495" w:type="dxa"/>
            <w:gridSpan w:val="11"/>
            <w:shd w:val="clear" w:color="auto" w:fill="auto"/>
          </w:tcPr>
          <w:p w14:paraId="557BF79D" w14:textId="77777777" w:rsidR="00260F33" w:rsidRPr="008C7038" w:rsidRDefault="00370965"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Projekt wpłynie pozytywnie na obywateli poprzez zapewnienie im możliwości korzystania z elektronicznego doręczenia docelowo we wszystkich procedurach sądowych.</w:t>
            </w:r>
            <w:r w:rsidR="009B4F94" w:rsidRPr="008C7038">
              <w:rPr>
                <w:rFonts w:ascii="Times New Roman" w:hAnsi="Times New Roman" w:cs="Times New Roman"/>
                <w:spacing w:val="-2"/>
                <w:sz w:val="24"/>
                <w:szCs w:val="24"/>
              </w:rPr>
              <w:t xml:space="preserve"> </w:t>
            </w:r>
            <w:r w:rsidR="00FC2EBB" w:rsidRPr="008C7038">
              <w:rPr>
                <w:rFonts w:ascii="Times New Roman" w:hAnsi="Times New Roman" w:cs="Times New Roman"/>
                <w:spacing w:val="-2"/>
                <w:sz w:val="24"/>
                <w:szCs w:val="24"/>
              </w:rPr>
              <w:t>Z</w:t>
            </w:r>
            <w:r w:rsidR="009B4F94" w:rsidRPr="008C7038">
              <w:rPr>
                <w:rFonts w:ascii="Times New Roman" w:hAnsi="Times New Roman" w:cs="Times New Roman"/>
                <w:spacing w:val="-2"/>
                <w:sz w:val="24"/>
                <w:szCs w:val="24"/>
              </w:rPr>
              <w:t xml:space="preserve">akres stosowania </w:t>
            </w:r>
            <w:r w:rsidR="00E50463" w:rsidRPr="008C7038">
              <w:rPr>
                <w:rFonts w:ascii="Times New Roman" w:hAnsi="Times New Roman" w:cs="Times New Roman"/>
                <w:spacing w:val="-2"/>
                <w:sz w:val="24"/>
                <w:szCs w:val="24"/>
              </w:rPr>
              <w:t>e</w:t>
            </w:r>
            <w:r w:rsidR="007408E0" w:rsidRPr="008C7038">
              <w:rPr>
                <w:rFonts w:ascii="Times New Roman" w:hAnsi="Times New Roman" w:cs="Times New Roman"/>
                <w:spacing w:val="-2"/>
                <w:sz w:val="24"/>
                <w:szCs w:val="24"/>
              </w:rPr>
              <w:noBreakHyphen/>
            </w:r>
            <w:r w:rsidR="00FC2EBB" w:rsidRPr="008C7038">
              <w:rPr>
                <w:rFonts w:ascii="Times New Roman" w:hAnsi="Times New Roman" w:cs="Times New Roman"/>
                <w:spacing w:val="-2"/>
                <w:sz w:val="24"/>
                <w:szCs w:val="24"/>
              </w:rPr>
              <w:t>D</w:t>
            </w:r>
            <w:r w:rsidR="009B4F94" w:rsidRPr="008C7038">
              <w:rPr>
                <w:rFonts w:ascii="Times New Roman" w:hAnsi="Times New Roman" w:cs="Times New Roman"/>
                <w:spacing w:val="-2"/>
                <w:sz w:val="24"/>
                <w:szCs w:val="24"/>
              </w:rPr>
              <w:t xml:space="preserve">oręczenia </w:t>
            </w:r>
            <w:r w:rsidR="00FC2EBB" w:rsidRPr="008C7038">
              <w:rPr>
                <w:rFonts w:ascii="Times New Roman" w:hAnsi="Times New Roman" w:cs="Times New Roman"/>
                <w:spacing w:val="-2"/>
                <w:sz w:val="24"/>
                <w:szCs w:val="24"/>
              </w:rPr>
              <w:t>zostanie określony</w:t>
            </w:r>
            <w:r w:rsidR="009B4F94" w:rsidRPr="008C7038">
              <w:rPr>
                <w:rFonts w:ascii="Times New Roman" w:hAnsi="Times New Roman" w:cs="Times New Roman"/>
                <w:spacing w:val="-2"/>
                <w:sz w:val="24"/>
                <w:szCs w:val="24"/>
              </w:rPr>
              <w:t xml:space="preserve"> </w:t>
            </w:r>
            <w:r w:rsidR="00067DFD" w:rsidRPr="008C7038">
              <w:rPr>
                <w:rFonts w:ascii="Times New Roman" w:hAnsi="Times New Roman" w:cs="Times New Roman"/>
                <w:spacing w:val="-2"/>
                <w:sz w:val="24"/>
                <w:szCs w:val="24"/>
              </w:rPr>
              <w:t xml:space="preserve">w </w:t>
            </w:r>
            <w:r w:rsidR="009B4F94" w:rsidRPr="008C7038">
              <w:rPr>
                <w:rFonts w:ascii="Times New Roman" w:hAnsi="Times New Roman" w:cs="Times New Roman"/>
                <w:spacing w:val="-2"/>
                <w:sz w:val="24"/>
                <w:szCs w:val="24"/>
              </w:rPr>
              <w:t>uzgodnieniu z</w:t>
            </w:r>
            <w:r w:rsidR="001F7CF5" w:rsidRPr="008C7038">
              <w:rPr>
                <w:rFonts w:ascii="Times New Roman" w:hAnsi="Times New Roman" w:cs="Times New Roman"/>
                <w:spacing w:val="-2"/>
                <w:sz w:val="24"/>
                <w:szCs w:val="24"/>
              </w:rPr>
              <w:t> </w:t>
            </w:r>
            <w:r w:rsidR="009B4F94" w:rsidRPr="008C7038">
              <w:rPr>
                <w:rFonts w:ascii="Times New Roman" w:hAnsi="Times New Roman" w:cs="Times New Roman"/>
                <w:spacing w:val="-2"/>
                <w:sz w:val="24"/>
                <w:szCs w:val="24"/>
              </w:rPr>
              <w:t>Ministerstwem Sprawiedliwości.</w:t>
            </w:r>
          </w:p>
          <w:p w14:paraId="0FD71ECD" w14:textId="77777777" w:rsidR="009B4F94" w:rsidRPr="008C7038" w:rsidRDefault="00DB210A"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S</w:t>
            </w:r>
            <w:r w:rsidR="009B4F94" w:rsidRPr="008C7038">
              <w:rPr>
                <w:rFonts w:ascii="Times New Roman" w:hAnsi="Times New Roman" w:cs="Times New Roman"/>
                <w:spacing w:val="-2"/>
                <w:sz w:val="24"/>
                <w:szCs w:val="24"/>
              </w:rPr>
              <w:t xml:space="preserve">ądy uzyskają </w:t>
            </w:r>
            <w:r w:rsidR="00126BB1" w:rsidRPr="008C7038">
              <w:rPr>
                <w:rFonts w:ascii="Times New Roman" w:hAnsi="Times New Roman" w:cs="Times New Roman"/>
                <w:spacing w:val="-2"/>
                <w:sz w:val="24"/>
                <w:szCs w:val="24"/>
              </w:rPr>
              <w:t xml:space="preserve">możliwość </w:t>
            </w:r>
            <w:r w:rsidR="005270A1" w:rsidRPr="008C7038">
              <w:rPr>
                <w:rFonts w:ascii="Times New Roman" w:hAnsi="Times New Roman" w:cs="Times New Roman"/>
                <w:spacing w:val="-2"/>
                <w:sz w:val="24"/>
                <w:szCs w:val="24"/>
              </w:rPr>
              <w:t>przyspieszeni</w:t>
            </w:r>
            <w:r w:rsidR="00126BB1" w:rsidRPr="008C7038">
              <w:rPr>
                <w:rFonts w:ascii="Times New Roman" w:hAnsi="Times New Roman" w:cs="Times New Roman"/>
                <w:spacing w:val="-2"/>
                <w:sz w:val="24"/>
                <w:szCs w:val="24"/>
              </w:rPr>
              <w:t>a</w:t>
            </w:r>
            <w:r w:rsidR="005270A1" w:rsidRPr="008C7038">
              <w:rPr>
                <w:rFonts w:ascii="Times New Roman" w:hAnsi="Times New Roman" w:cs="Times New Roman"/>
                <w:spacing w:val="-2"/>
                <w:sz w:val="24"/>
                <w:szCs w:val="24"/>
              </w:rPr>
              <w:t xml:space="preserve"> </w:t>
            </w:r>
            <w:r w:rsidR="009B4F94" w:rsidRPr="008C7038">
              <w:rPr>
                <w:rFonts w:ascii="Times New Roman" w:hAnsi="Times New Roman" w:cs="Times New Roman"/>
                <w:spacing w:val="-2"/>
                <w:sz w:val="24"/>
                <w:szCs w:val="24"/>
              </w:rPr>
              <w:t>procedur poprzez skrócenie czasu i zwiększenie pewności doręczenia. Ponadto</w:t>
            </w:r>
            <w:r w:rsidR="00EC6B74" w:rsidRPr="008C7038">
              <w:rPr>
                <w:rFonts w:ascii="Times New Roman" w:hAnsi="Times New Roman" w:cs="Times New Roman"/>
                <w:spacing w:val="-2"/>
                <w:sz w:val="24"/>
                <w:szCs w:val="24"/>
              </w:rPr>
              <w:t>,</w:t>
            </w:r>
            <w:r w:rsidR="009B4F94" w:rsidRPr="008C7038">
              <w:rPr>
                <w:rFonts w:ascii="Times New Roman" w:hAnsi="Times New Roman" w:cs="Times New Roman"/>
                <w:spacing w:val="-2"/>
                <w:sz w:val="24"/>
                <w:szCs w:val="24"/>
              </w:rPr>
              <w:t xml:space="preserve"> w przypadku wykorzystywania rejestrowanego doręczenia elektronicznego w obrocie cywilnoprawnym, strony w</w:t>
            </w:r>
            <w:r w:rsidR="00EC6F9D" w:rsidRPr="008C7038">
              <w:rPr>
                <w:rFonts w:ascii="Times New Roman" w:hAnsi="Times New Roman" w:cs="Times New Roman"/>
                <w:spacing w:val="-2"/>
                <w:sz w:val="24"/>
                <w:szCs w:val="24"/>
              </w:rPr>
              <w:t> </w:t>
            </w:r>
            <w:r w:rsidR="009B4F94" w:rsidRPr="008C7038">
              <w:rPr>
                <w:rFonts w:ascii="Times New Roman" w:hAnsi="Times New Roman" w:cs="Times New Roman"/>
                <w:spacing w:val="-2"/>
                <w:sz w:val="24"/>
                <w:szCs w:val="24"/>
              </w:rPr>
              <w:t xml:space="preserve">postępowaniach przed sądami powszechnymi uzyskają </w:t>
            </w:r>
            <w:r w:rsidRPr="008C7038">
              <w:rPr>
                <w:rFonts w:ascii="Times New Roman" w:hAnsi="Times New Roman" w:cs="Times New Roman"/>
                <w:spacing w:val="-2"/>
                <w:sz w:val="24"/>
                <w:szCs w:val="24"/>
              </w:rPr>
              <w:t xml:space="preserve">np. </w:t>
            </w:r>
            <w:r w:rsidR="009B4F94" w:rsidRPr="008C7038">
              <w:rPr>
                <w:rFonts w:ascii="Times New Roman" w:hAnsi="Times New Roman" w:cs="Times New Roman"/>
                <w:spacing w:val="-2"/>
                <w:sz w:val="24"/>
                <w:szCs w:val="24"/>
              </w:rPr>
              <w:t>możliwość lepszego dowodzenia faktu złożenia oświadczenia woli.</w:t>
            </w:r>
          </w:p>
        </w:tc>
      </w:tr>
      <w:tr w:rsidR="003103FD" w:rsidRPr="008C7038" w14:paraId="6ADF4E6A" w14:textId="77777777" w:rsidTr="008C7038">
        <w:trPr>
          <w:gridAfter w:val="2"/>
          <w:wAfter w:w="124" w:type="dxa"/>
          <w:trHeight w:val="142"/>
        </w:trPr>
        <w:tc>
          <w:tcPr>
            <w:tcW w:w="1841" w:type="dxa"/>
            <w:gridSpan w:val="2"/>
            <w:shd w:val="clear" w:color="auto" w:fill="auto"/>
          </w:tcPr>
          <w:p w14:paraId="0E27F17D" w14:textId="77777777" w:rsidR="003103FD" w:rsidRPr="008C7038" w:rsidRDefault="003103FD" w:rsidP="00052A6C">
            <w:pPr>
              <w:tabs>
                <w:tab w:val="left" w:pos="1560"/>
              </w:tabs>
              <w:spacing w:after="120"/>
              <w:rPr>
                <w:rFonts w:ascii="Times New Roman" w:hAnsi="Times New Roman" w:cs="Times New Roman"/>
                <w:sz w:val="24"/>
                <w:szCs w:val="24"/>
              </w:rPr>
            </w:pPr>
            <w:r w:rsidRPr="008C7038">
              <w:rPr>
                <w:rFonts w:ascii="Times New Roman" w:hAnsi="Times New Roman" w:cs="Times New Roman"/>
                <w:sz w:val="24"/>
                <w:szCs w:val="24"/>
              </w:rPr>
              <w:t>Operatorzy pocztowi</w:t>
            </w:r>
          </w:p>
        </w:tc>
        <w:tc>
          <w:tcPr>
            <w:tcW w:w="2105" w:type="dxa"/>
            <w:gridSpan w:val="7"/>
            <w:shd w:val="clear" w:color="auto" w:fill="auto"/>
          </w:tcPr>
          <w:p w14:paraId="2D67FEE2" w14:textId="77777777" w:rsidR="003103FD" w:rsidRPr="008C7038" w:rsidRDefault="000C2B69" w:rsidP="00052A6C">
            <w:pPr>
              <w:spacing w:after="120"/>
              <w:rPr>
                <w:rFonts w:ascii="Times New Roman" w:hAnsi="Times New Roman" w:cs="Times New Roman"/>
                <w:sz w:val="24"/>
                <w:szCs w:val="24"/>
              </w:rPr>
            </w:pPr>
            <w:r w:rsidRPr="008C7038">
              <w:rPr>
                <w:rFonts w:ascii="Times New Roman" w:hAnsi="Times New Roman" w:cs="Times New Roman"/>
                <w:sz w:val="24"/>
                <w:szCs w:val="24"/>
              </w:rPr>
              <w:t xml:space="preserve"> 280 </w:t>
            </w:r>
            <w:r w:rsidR="00A628D1" w:rsidRPr="008C7038">
              <w:rPr>
                <w:rFonts w:ascii="Times New Roman" w:hAnsi="Times New Roman" w:cs="Times New Roman"/>
                <w:sz w:val="24"/>
                <w:szCs w:val="24"/>
              </w:rPr>
              <w:t xml:space="preserve">operatorów zarejestrowanych, w tym 142 działających </w:t>
            </w:r>
          </w:p>
        </w:tc>
        <w:tc>
          <w:tcPr>
            <w:tcW w:w="2391" w:type="dxa"/>
            <w:gridSpan w:val="7"/>
            <w:shd w:val="clear" w:color="auto" w:fill="auto"/>
          </w:tcPr>
          <w:p w14:paraId="09A9FFF8" w14:textId="77777777" w:rsidR="00A628D1" w:rsidRPr="008C7038" w:rsidRDefault="00A628D1" w:rsidP="00052A6C">
            <w:pPr>
              <w:spacing w:after="120"/>
              <w:rPr>
                <w:rFonts w:ascii="Times New Roman" w:hAnsi="Times New Roman" w:cs="Times New Roman"/>
                <w:spacing w:val="-2"/>
                <w:sz w:val="24"/>
                <w:szCs w:val="24"/>
              </w:rPr>
            </w:pPr>
            <w:r w:rsidRPr="008C7038">
              <w:rPr>
                <w:rFonts w:ascii="Times New Roman" w:hAnsi="Times New Roman" w:cs="Times New Roman"/>
                <w:spacing w:val="-2"/>
                <w:sz w:val="24"/>
                <w:szCs w:val="24"/>
              </w:rPr>
              <w:t>Informacje o liczbie podmiotów– Raport o stanie rynku pocztowego w 2017 r.</w:t>
            </w:r>
            <w:r w:rsidR="005C31D4" w:rsidRPr="008C7038">
              <w:rPr>
                <w:rStyle w:val="Odwoanieprzypisudolnego"/>
                <w:rFonts w:ascii="Times New Roman" w:hAnsi="Times New Roman" w:cs="Times New Roman"/>
                <w:spacing w:val="-2"/>
                <w:sz w:val="24"/>
                <w:szCs w:val="24"/>
              </w:rPr>
              <w:t xml:space="preserve"> </w:t>
            </w:r>
            <w:r w:rsidR="005C31D4" w:rsidRPr="008C7038">
              <w:rPr>
                <w:rStyle w:val="Odwoanieprzypisudolnego"/>
                <w:rFonts w:ascii="Times New Roman" w:hAnsi="Times New Roman" w:cs="Times New Roman"/>
                <w:spacing w:val="-2"/>
                <w:sz w:val="24"/>
                <w:szCs w:val="24"/>
              </w:rPr>
              <w:footnoteReference w:id="14"/>
            </w:r>
          </w:p>
        </w:tc>
        <w:tc>
          <w:tcPr>
            <w:tcW w:w="4495" w:type="dxa"/>
            <w:gridSpan w:val="11"/>
            <w:shd w:val="clear" w:color="auto" w:fill="auto"/>
          </w:tcPr>
          <w:p w14:paraId="59CD74BB" w14:textId="77777777" w:rsidR="003103FD" w:rsidRPr="008C7038" w:rsidRDefault="00A628D1" w:rsidP="00052A6C">
            <w:pPr>
              <w:spacing w:after="120"/>
              <w:rPr>
                <w:rFonts w:ascii="Times New Roman" w:hAnsi="Times New Roman" w:cs="Times New Roman"/>
                <w:sz w:val="24"/>
                <w:szCs w:val="24"/>
              </w:rPr>
            </w:pPr>
            <w:r w:rsidRPr="008C7038">
              <w:rPr>
                <w:rFonts w:ascii="Times New Roman" w:hAnsi="Times New Roman" w:cs="Times New Roman"/>
                <w:sz w:val="24"/>
                <w:szCs w:val="24"/>
              </w:rPr>
              <w:t xml:space="preserve">Projekt wpłynie negatywnie na wolumen rynku przesyłek listowych, wprowadzając rozwiązanie alternatywne w zakresie doręczenia przesyłek listowych </w:t>
            </w:r>
            <w:r w:rsidR="00C87B99" w:rsidRPr="008C7038">
              <w:rPr>
                <w:rFonts w:ascii="Times New Roman" w:hAnsi="Times New Roman" w:cs="Times New Roman"/>
                <w:sz w:val="24"/>
                <w:szCs w:val="24"/>
              </w:rPr>
              <w:t xml:space="preserve">przesyłanych do i od podmiotów publicznych. </w:t>
            </w:r>
          </w:p>
          <w:p w14:paraId="3A040725" w14:textId="77777777" w:rsidR="00C87B99" w:rsidRPr="008C7038" w:rsidRDefault="00C87B99" w:rsidP="00052A6C">
            <w:pPr>
              <w:spacing w:after="120"/>
              <w:rPr>
                <w:rFonts w:ascii="Times New Roman" w:hAnsi="Times New Roman" w:cs="Times New Roman"/>
                <w:sz w:val="24"/>
                <w:szCs w:val="24"/>
              </w:rPr>
            </w:pPr>
            <w:r w:rsidRPr="008C7038">
              <w:rPr>
                <w:rFonts w:ascii="Times New Roman" w:hAnsi="Times New Roman" w:cs="Times New Roman"/>
                <w:sz w:val="24"/>
                <w:szCs w:val="24"/>
              </w:rPr>
              <w:t>Na polskim rynku pocztowym obserwowana jest ogólnoświatowa tendencja do</w:t>
            </w:r>
            <w:r w:rsidR="00DC1AF8" w:rsidRPr="008C7038">
              <w:rPr>
                <w:rFonts w:ascii="Times New Roman" w:hAnsi="Times New Roman" w:cs="Times New Roman"/>
                <w:sz w:val="24"/>
                <w:szCs w:val="24"/>
              </w:rPr>
              <w:t> </w:t>
            </w:r>
            <w:r w:rsidRPr="008C7038">
              <w:rPr>
                <w:rFonts w:ascii="Times New Roman" w:hAnsi="Times New Roman" w:cs="Times New Roman"/>
                <w:sz w:val="24"/>
                <w:szCs w:val="24"/>
              </w:rPr>
              <w:t>zmniejszania wolumenu rynku przesyłek listowych (w 2017 r. nastąpiło zmniejszenie liczby przesyłek listowych o 35,6 mln w stosunku do 2016 r.). Wprowadzone rozwiązanie wzmocni ten trend, jednak</w:t>
            </w:r>
            <w:r w:rsidR="00BE1663" w:rsidRPr="008C7038">
              <w:rPr>
                <w:rFonts w:ascii="Times New Roman" w:hAnsi="Times New Roman" w:cs="Times New Roman"/>
                <w:sz w:val="24"/>
                <w:szCs w:val="24"/>
              </w:rPr>
              <w:t xml:space="preserve"> skala zmiany jest niemożliwa do oszacowania </w:t>
            </w:r>
            <w:r w:rsidRPr="008C7038">
              <w:rPr>
                <w:rFonts w:ascii="Times New Roman" w:hAnsi="Times New Roman" w:cs="Times New Roman"/>
                <w:sz w:val="24"/>
                <w:szCs w:val="24"/>
              </w:rPr>
              <w:t>ze względu na brak danych o udziale przesyłek listowych kierowanych do i od podmiotów publicznych w całości rynku przesyłek listowych.</w:t>
            </w:r>
          </w:p>
          <w:p w14:paraId="4792EEC8" w14:textId="77777777" w:rsidR="00C87B99" w:rsidRPr="008C7038" w:rsidRDefault="00C87B99" w:rsidP="00052A6C">
            <w:pPr>
              <w:spacing w:after="120"/>
              <w:rPr>
                <w:rFonts w:ascii="Times New Roman" w:hAnsi="Times New Roman" w:cs="Times New Roman"/>
                <w:spacing w:val="-2"/>
                <w:sz w:val="24"/>
                <w:szCs w:val="24"/>
              </w:rPr>
            </w:pPr>
            <w:r w:rsidRPr="008C7038">
              <w:rPr>
                <w:rFonts w:ascii="Times New Roman" w:hAnsi="Times New Roman" w:cs="Times New Roman"/>
                <w:sz w:val="24"/>
                <w:szCs w:val="24"/>
              </w:rPr>
              <w:t>Zjawisko to będzie miało największy wpływ na sytuację operatora wyznaczonego (Poczta Polska S.A</w:t>
            </w:r>
            <w:r w:rsidR="004C628A" w:rsidRPr="008C7038">
              <w:rPr>
                <w:rFonts w:ascii="Times New Roman" w:hAnsi="Times New Roman" w:cs="Times New Roman"/>
                <w:sz w:val="24"/>
                <w:szCs w:val="24"/>
              </w:rPr>
              <w:t>.</w:t>
            </w:r>
            <w:r w:rsidRPr="008C7038">
              <w:rPr>
                <w:rFonts w:ascii="Times New Roman" w:hAnsi="Times New Roman" w:cs="Times New Roman"/>
                <w:sz w:val="24"/>
                <w:szCs w:val="24"/>
              </w:rPr>
              <w:t>)</w:t>
            </w:r>
            <w:r w:rsidR="00397760" w:rsidRPr="008C7038">
              <w:rPr>
                <w:rFonts w:ascii="Times New Roman" w:hAnsi="Times New Roman" w:cs="Times New Roman"/>
                <w:sz w:val="24"/>
                <w:szCs w:val="24"/>
              </w:rPr>
              <w:t xml:space="preserve">, realizującego w ramach usługi powszechnej </w:t>
            </w:r>
            <w:r w:rsidR="00E44B2A" w:rsidRPr="008C7038">
              <w:rPr>
                <w:rFonts w:ascii="Times New Roman" w:hAnsi="Times New Roman" w:cs="Times New Roman"/>
                <w:spacing w:val="-2"/>
                <w:sz w:val="24"/>
                <w:szCs w:val="24"/>
              </w:rPr>
              <w:t>98,25%</w:t>
            </w:r>
            <w:r w:rsidR="00DC1AF8" w:rsidRPr="008C7038">
              <w:rPr>
                <w:rStyle w:val="Odwoanieprzypisudolnego"/>
                <w:rFonts w:ascii="Times New Roman" w:hAnsi="Times New Roman" w:cs="Times New Roman"/>
                <w:spacing w:val="-2"/>
                <w:sz w:val="24"/>
                <w:szCs w:val="24"/>
              </w:rPr>
              <w:footnoteReference w:id="15"/>
            </w:r>
            <w:r w:rsidR="00E44B2A" w:rsidRPr="008C7038">
              <w:rPr>
                <w:rFonts w:ascii="Times New Roman" w:hAnsi="Times New Roman" w:cs="Times New Roman"/>
                <w:spacing w:val="-2"/>
                <w:sz w:val="24"/>
                <w:szCs w:val="24"/>
              </w:rPr>
              <w:t xml:space="preserve"> </w:t>
            </w:r>
            <w:r w:rsidR="00397760" w:rsidRPr="008C7038">
              <w:rPr>
                <w:rFonts w:ascii="Times New Roman" w:hAnsi="Times New Roman" w:cs="Times New Roman"/>
                <w:sz w:val="24"/>
                <w:szCs w:val="24"/>
              </w:rPr>
              <w:t xml:space="preserve">przesyłek listowych. </w:t>
            </w:r>
          </w:p>
        </w:tc>
      </w:tr>
      <w:tr w:rsidR="00030B65" w:rsidRPr="008C7038" w14:paraId="106F9A6F" w14:textId="77777777" w:rsidTr="008C7038">
        <w:trPr>
          <w:gridAfter w:val="2"/>
          <w:wAfter w:w="124" w:type="dxa"/>
          <w:trHeight w:val="142"/>
        </w:trPr>
        <w:tc>
          <w:tcPr>
            <w:tcW w:w="1841" w:type="dxa"/>
            <w:gridSpan w:val="2"/>
            <w:shd w:val="clear" w:color="auto" w:fill="auto"/>
          </w:tcPr>
          <w:p w14:paraId="13D01798" w14:textId="77777777" w:rsidR="00030B65" w:rsidRPr="008C7038" w:rsidRDefault="00407DD6" w:rsidP="00052A6C">
            <w:pPr>
              <w:tabs>
                <w:tab w:val="left" w:pos="1560"/>
              </w:tabs>
              <w:contextualSpacing/>
              <w:jc w:val="both"/>
              <w:rPr>
                <w:rFonts w:ascii="Times New Roman" w:hAnsi="Times New Roman" w:cs="Times New Roman"/>
                <w:sz w:val="24"/>
                <w:szCs w:val="24"/>
              </w:rPr>
            </w:pPr>
            <w:r w:rsidRPr="008C7038">
              <w:rPr>
                <w:rFonts w:ascii="Times New Roman" w:hAnsi="Times New Roman" w:cs="Times New Roman"/>
                <w:sz w:val="24"/>
                <w:szCs w:val="24"/>
              </w:rPr>
              <w:t>Operator wyznaczony</w:t>
            </w:r>
            <w:r w:rsidR="00030B65" w:rsidRPr="008C7038">
              <w:rPr>
                <w:rFonts w:ascii="Times New Roman" w:hAnsi="Times New Roman" w:cs="Times New Roman"/>
                <w:sz w:val="24"/>
                <w:szCs w:val="24"/>
              </w:rPr>
              <w:t xml:space="preserve"> - Poczta Polska S.A.</w:t>
            </w:r>
          </w:p>
        </w:tc>
        <w:tc>
          <w:tcPr>
            <w:tcW w:w="2105" w:type="dxa"/>
            <w:gridSpan w:val="7"/>
            <w:shd w:val="clear" w:color="auto" w:fill="auto"/>
          </w:tcPr>
          <w:p w14:paraId="3125E907" w14:textId="77777777" w:rsidR="00030B65" w:rsidRPr="008C7038" w:rsidRDefault="00030B65" w:rsidP="00052A6C">
            <w:pPr>
              <w:contextualSpacing/>
              <w:jc w:val="both"/>
              <w:rPr>
                <w:rFonts w:ascii="Times New Roman" w:hAnsi="Times New Roman" w:cs="Times New Roman"/>
                <w:sz w:val="24"/>
                <w:szCs w:val="24"/>
              </w:rPr>
            </w:pPr>
            <w:r w:rsidRPr="008C7038">
              <w:rPr>
                <w:rFonts w:ascii="Times New Roman" w:hAnsi="Times New Roman" w:cs="Times New Roman"/>
                <w:sz w:val="24"/>
                <w:szCs w:val="24"/>
              </w:rPr>
              <w:t>Przedsiębiorca o ogólnopolskim zasięgu działania zatrudniający ok. 80 000 osób</w:t>
            </w:r>
          </w:p>
        </w:tc>
        <w:tc>
          <w:tcPr>
            <w:tcW w:w="2391" w:type="dxa"/>
            <w:gridSpan w:val="7"/>
            <w:shd w:val="clear" w:color="auto" w:fill="auto"/>
          </w:tcPr>
          <w:p w14:paraId="16697DF9" w14:textId="77777777" w:rsidR="00030B65" w:rsidRPr="008C7038" w:rsidRDefault="00030B65" w:rsidP="00052A6C">
            <w:pPr>
              <w:contextualSpacing/>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Raport UKE o stanie rynku pocztowego w 2017 rok</w:t>
            </w:r>
            <w:r w:rsidR="00CC1102" w:rsidRPr="008C7038">
              <w:rPr>
                <w:rFonts w:ascii="Times New Roman" w:hAnsi="Times New Roman" w:cs="Times New Roman"/>
                <w:spacing w:val="-2"/>
                <w:sz w:val="24"/>
                <w:szCs w:val="24"/>
              </w:rPr>
              <w:t>u</w:t>
            </w:r>
          </w:p>
        </w:tc>
        <w:tc>
          <w:tcPr>
            <w:tcW w:w="4495" w:type="dxa"/>
            <w:gridSpan w:val="11"/>
            <w:shd w:val="clear" w:color="auto" w:fill="auto"/>
          </w:tcPr>
          <w:p w14:paraId="6812776C" w14:textId="77777777" w:rsidR="00030B65" w:rsidRPr="008C7038" w:rsidRDefault="00030B65" w:rsidP="00052A6C">
            <w:p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 xml:space="preserve">Wpływ projektowanej regulacji na przedsiębiorcę: </w:t>
            </w:r>
          </w:p>
          <w:p w14:paraId="277C4C64"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 xml:space="preserve">utrata części przychodów pochodzących z obsługi przesyłek listowych kierowanych do i od podmiotów </w:t>
            </w:r>
            <w:r w:rsidRPr="008C7038">
              <w:rPr>
                <w:rFonts w:ascii="Times New Roman" w:eastAsia="Calibri" w:hAnsi="Times New Roman" w:cs="Times New Roman"/>
                <w:spacing w:val="-2"/>
                <w:sz w:val="24"/>
                <w:szCs w:val="24"/>
              </w:rPr>
              <w:lastRenderedPageBreak/>
              <w:t>publicznych</w:t>
            </w:r>
          </w:p>
          <w:p w14:paraId="668B7038"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wytworzenie nowego obszaru przychodów z tytułu usług cyfrowych, co pozwoli na zniwelowanie utraty przychodów z tradycyjnych usług listowych,</w:t>
            </w:r>
          </w:p>
          <w:p w14:paraId="0E5CF0A9"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planowane przychody</w:t>
            </w:r>
            <w:r w:rsidR="00BE1663" w:rsidRPr="008C7038">
              <w:rPr>
                <w:rFonts w:ascii="Times New Roman" w:eastAsia="Calibri" w:hAnsi="Times New Roman" w:cs="Times New Roman"/>
                <w:spacing w:val="-2"/>
                <w:sz w:val="24"/>
                <w:szCs w:val="24"/>
              </w:rPr>
              <w:t xml:space="preserve"> z usługi e-Doręczenia oraz publicznej usługi hybrydowej</w:t>
            </w:r>
            <w:r w:rsidRPr="008C7038">
              <w:rPr>
                <w:rFonts w:ascii="Times New Roman" w:eastAsia="Calibri" w:hAnsi="Times New Roman" w:cs="Times New Roman"/>
                <w:spacing w:val="-2"/>
                <w:sz w:val="24"/>
                <w:szCs w:val="24"/>
              </w:rPr>
              <w:t xml:space="preserve"> nie pokryją w całości przychodów uzyskiwanych aktualnie z</w:t>
            </w:r>
            <w:r w:rsidR="005C31D4" w:rsidRPr="008C7038">
              <w:rPr>
                <w:rFonts w:ascii="Times New Roman" w:eastAsia="Calibri" w:hAnsi="Times New Roman" w:cs="Times New Roman"/>
                <w:spacing w:val="-2"/>
                <w:sz w:val="24"/>
                <w:szCs w:val="24"/>
              </w:rPr>
              <w:t> </w:t>
            </w:r>
            <w:r w:rsidRPr="008C7038">
              <w:rPr>
                <w:rFonts w:ascii="Times New Roman" w:eastAsia="Calibri" w:hAnsi="Times New Roman" w:cs="Times New Roman"/>
                <w:spacing w:val="-2"/>
                <w:sz w:val="24"/>
                <w:szCs w:val="24"/>
              </w:rPr>
              <w:t>tradycyjnych przesyłek listowych</w:t>
            </w:r>
            <w:r w:rsidR="00BE1663" w:rsidRPr="008C7038">
              <w:rPr>
                <w:rFonts w:ascii="Times New Roman" w:eastAsia="Calibri" w:hAnsi="Times New Roman" w:cs="Times New Roman"/>
                <w:spacing w:val="-2"/>
                <w:sz w:val="24"/>
                <w:szCs w:val="24"/>
              </w:rPr>
              <w:t xml:space="preserve"> kierowanych do i od podmiotów publicznych</w:t>
            </w:r>
            <w:r w:rsidRPr="008C7038">
              <w:rPr>
                <w:rFonts w:ascii="Times New Roman" w:eastAsia="Calibri" w:hAnsi="Times New Roman" w:cs="Times New Roman"/>
                <w:spacing w:val="-2"/>
                <w:sz w:val="24"/>
                <w:szCs w:val="24"/>
              </w:rPr>
              <w:t>,</w:t>
            </w:r>
          </w:p>
          <w:p w14:paraId="1E892E7B"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wytworzenie nowych specjalistycznych miejsc pracy,</w:t>
            </w:r>
            <w:r w:rsidR="00BE1663" w:rsidRPr="008C7038">
              <w:rPr>
                <w:rFonts w:ascii="Times New Roman" w:eastAsia="Calibri" w:hAnsi="Times New Roman" w:cs="Times New Roman"/>
                <w:spacing w:val="-2"/>
                <w:sz w:val="24"/>
                <w:szCs w:val="24"/>
              </w:rPr>
              <w:t xml:space="preserve"> oraz</w:t>
            </w:r>
            <w:r w:rsidRPr="008C7038">
              <w:rPr>
                <w:rFonts w:ascii="Times New Roman" w:eastAsia="Calibri" w:hAnsi="Times New Roman" w:cs="Times New Roman"/>
                <w:spacing w:val="-2"/>
                <w:sz w:val="24"/>
                <w:szCs w:val="24"/>
              </w:rPr>
              <w:t xml:space="preserve"> przekwalifikowanie </w:t>
            </w:r>
            <w:r w:rsidR="00BE1663" w:rsidRPr="008C7038">
              <w:rPr>
                <w:rFonts w:ascii="Times New Roman" w:eastAsia="Calibri" w:hAnsi="Times New Roman" w:cs="Times New Roman"/>
                <w:spacing w:val="-2"/>
                <w:sz w:val="24"/>
                <w:szCs w:val="24"/>
              </w:rPr>
              <w:t xml:space="preserve">części </w:t>
            </w:r>
            <w:r w:rsidRPr="008C7038">
              <w:rPr>
                <w:rFonts w:ascii="Times New Roman" w:eastAsia="Calibri" w:hAnsi="Times New Roman" w:cs="Times New Roman"/>
                <w:spacing w:val="-2"/>
                <w:sz w:val="24"/>
                <w:szCs w:val="24"/>
              </w:rPr>
              <w:t>pracowników Poczty Polskiej</w:t>
            </w:r>
            <w:r w:rsidR="00BE1663" w:rsidRPr="008C7038">
              <w:rPr>
                <w:rFonts w:ascii="Times New Roman" w:eastAsia="Calibri" w:hAnsi="Times New Roman" w:cs="Times New Roman"/>
                <w:spacing w:val="-2"/>
                <w:sz w:val="24"/>
                <w:szCs w:val="24"/>
              </w:rPr>
              <w:t xml:space="preserve"> zatrudnionych przy obsłudze tradycyjnych przesyłek listowych</w:t>
            </w:r>
            <w:r w:rsidRPr="008C7038">
              <w:rPr>
                <w:rFonts w:ascii="Times New Roman" w:eastAsia="Calibri" w:hAnsi="Times New Roman" w:cs="Times New Roman"/>
                <w:spacing w:val="-2"/>
                <w:sz w:val="24"/>
                <w:szCs w:val="24"/>
              </w:rPr>
              <w:t>,</w:t>
            </w:r>
          </w:p>
          <w:p w14:paraId="0FC8E92C"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u</w:t>
            </w:r>
            <w:r w:rsidR="00BE1663" w:rsidRPr="008C7038">
              <w:rPr>
                <w:rFonts w:ascii="Times New Roman" w:eastAsia="Calibri" w:hAnsi="Times New Roman" w:cs="Times New Roman"/>
                <w:spacing w:val="-2"/>
                <w:sz w:val="24"/>
                <w:szCs w:val="24"/>
              </w:rPr>
              <w:t>dział</w:t>
            </w:r>
            <w:r w:rsidRPr="008C7038">
              <w:rPr>
                <w:rFonts w:ascii="Times New Roman" w:eastAsia="Calibri" w:hAnsi="Times New Roman" w:cs="Times New Roman"/>
                <w:spacing w:val="-2"/>
                <w:sz w:val="24"/>
                <w:szCs w:val="24"/>
              </w:rPr>
              <w:t xml:space="preserve"> przedsiębiorc</w:t>
            </w:r>
            <w:r w:rsidR="00BE1663" w:rsidRPr="008C7038">
              <w:rPr>
                <w:rFonts w:ascii="Times New Roman" w:eastAsia="Calibri" w:hAnsi="Times New Roman" w:cs="Times New Roman"/>
                <w:spacing w:val="-2"/>
                <w:sz w:val="24"/>
                <w:szCs w:val="24"/>
              </w:rPr>
              <w:t>y</w:t>
            </w:r>
            <w:r w:rsidRPr="008C7038">
              <w:rPr>
                <w:rFonts w:ascii="Times New Roman" w:eastAsia="Calibri" w:hAnsi="Times New Roman" w:cs="Times New Roman"/>
                <w:spacing w:val="-2"/>
                <w:sz w:val="24"/>
                <w:szCs w:val="24"/>
              </w:rPr>
              <w:t xml:space="preserve"> w</w:t>
            </w:r>
            <w:r w:rsidR="005C31D4" w:rsidRPr="008C7038">
              <w:rPr>
                <w:rFonts w:ascii="Times New Roman" w:eastAsia="Calibri" w:hAnsi="Times New Roman" w:cs="Times New Roman"/>
                <w:spacing w:val="-2"/>
                <w:sz w:val="24"/>
                <w:szCs w:val="24"/>
              </w:rPr>
              <w:t> </w:t>
            </w:r>
            <w:r w:rsidRPr="008C7038">
              <w:rPr>
                <w:rFonts w:ascii="Times New Roman" w:eastAsia="Calibri" w:hAnsi="Times New Roman" w:cs="Times New Roman"/>
                <w:spacing w:val="-2"/>
                <w:sz w:val="24"/>
                <w:szCs w:val="24"/>
              </w:rPr>
              <w:t>procesie cyfryzacji państwa, jako kluczowy partner,</w:t>
            </w:r>
          </w:p>
          <w:p w14:paraId="29A5F136" w14:textId="77777777" w:rsidR="00030B65" w:rsidRPr="008C7038" w:rsidRDefault="00030B65" w:rsidP="00052A6C">
            <w:pPr>
              <w:numPr>
                <w:ilvl w:val="0"/>
                <w:numId w:val="41"/>
              </w:numPr>
              <w:contextualSpacing/>
              <w:jc w:val="both"/>
              <w:rPr>
                <w:rFonts w:ascii="Times New Roman" w:eastAsia="Calibri" w:hAnsi="Times New Roman" w:cs="Times New Roman"/>
                <w:spacing w:val="-2"/>
                <w:sz w:val="24"/>
                <w:szCs w:val="24"/>
              </w:rPr>
            </w:pPr>
            <w:r w:rsidRPr="008C7038">
              <w:rPr>
                <w:rFonts w:ascii="Times New Roman" w:eastAsia="Calibri" w:hAnsi="Times New Roman" w:cs="Times New Roman"/>
                <w:spacing w:val="-2"/>
                <w:sz w:val="24"/>
                <w:szCs w:val="24"/>
              </w:rPr>
              <w:t xml:space="preserve">poniesienie dodatkowych kosztów związanych z dostosowaniem systemu </w:t>
            </w:r>
            <w:r w:rsidR="00BE1663" w:rsidRPr="008C7038">
              <w:rPr>
                <w:rFonts w:ascii="Times New Roman" w:eastAsia="Calibri" w:hAnsi="Times New Roman" w:cs="Times New Roman"/>
                <w:spacing w:val="-2"/>
                <w:sz w:val="24"/>
                <w:szCs w:val="24"/>
              </w:rPr>
              <w:t xml:space="preserve">informatycznego </w:t>
            </w:r>
            <w:r w:rsidRPr="008C7038">
              <w:rPr>
                <w:rFonts w:ascii="Times New Roman" w:eastAsia="Calibri" w:hAnsi="Times New Roman" w:cs="Times New Roman"/>
                <w:spacing w:val="-2"/>
                <w:sz w:val="24"/>
                <w:szCs w:val="24"/>
              </w:rPr>
              <w:t>oraz jego utrzymania po stronie Poczty Polskiej S.A.</w:t>
            </w:r>
          </w:p>
          <w:p w14:paraId="5E236F3F" w14:textId="77777777" w:rsidR="00030B65" w:rsidRPr="008C7038" w:rsidRDefault="00030B65" w:rsidP="00052A6C">
            <w:pPr>
              <w:contextualSpacing/>
              <w:jc w:val="both"/>
              <w:rPr>
                <w:rStyle w:val="Odwoaniedokomentarza"/>
                <w:rFonts w:ascii="Times New Roman" w:hAnsi="Times New Roman" w:cs="Times New Roman"/>
                <w:sz w:val="24"/>
                <w:szCs w:val="24"/>
              </w:rPr>
            </w:pPr>
          </w:p>
        </w:tc>
      </w:tr>
      <w:tr w:rsidR="006A701A" w:rsidRPr="008C7038" w14:paraId="009582BA" w14:textId="77777777" w:rsidTr="008C7038">
        <w:trPr>
          <w:gridAfter w:val="2"/>
          <w:wAfter w:w="124" w:type="dxa"/>
          <w:trHeight w:val="302"/>
        </w:trPr>
        <w:tc>
          <w:tcPr>
            <w:tcW w:w="10832" w:type="dxa"/>
            <w:gridSpan w:val="27"/>
            <w:shd w:val="clear" w:color="auto" w:fill="99CCFF"/>
            <w:vAlign w:val="center"/>
          </w:tcPr>
          <w:p w14:paraId="24843FEF" w14:textId="77777777" w:rsidR="006A701A" w:rsidRPr="008C7038" w:rsidRDefault="001B3460"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lastRenderedPageBreak/>
              <w:t>Informacje na temat zakresu</w:t>
            </w:r>
            <w:r w:rsidR="0076658F" w:rsidRPr="008C7038">
              <w:rPr>
                <w:rFonts w:ascii="Times New Roman" w:hAnsi="Times New Roman" w:cs="Times New Roman"/>
                <w:b/>
                <w:sz w:val="24"/>
                <w:szCs w:val="24"/>
              </w:rPr>
              <w:t>,</w:t>
            </w:r>
            <w:r w:rsidRPr="008C7038">
              <w:rPr>
                <w:rFonts w:ascii="Times New Roman" w:hAnsi="Times New Roman" w:cs="Times New Roman"/>
                <w:b/>
                <w:sz w:val="24"/>
                <w:szCs w:val="24"/>
              </w:rPr>
              <w:t xml:space="preserve"> czasu trwania </w:t>
            </w:r>
            <w:r w:rsidR="0076658F" w:rsidRPr="008C7038">
              <w:rPr>
                <w:rFonts w:ascii="Times New Roman" w:hAnsi="Times New Roman" w:cs="Times New Roman"/>
                <w:b/>
                <w:sz w:val="24"/>
                <w:szCs w:val="24"/>
              </w:rPr>
              <w:t xml:space="preserve">i podsumowanie wyników </w:t>
            </w:r>
            <w:r w:rsidRPr="008C7038">
              <w:rPr>
                <w:rFonts w:ascii="Times New Roman" w:hAnsi="Times New Roman" w:cs="Times New Roman"/>
                <w:b/>
                <w:sz w:val="24"/>
                <w:szCs w:val="24"/>
              </w:rPr>
              <w:t>konsultacji</w:t>
            </w:r>
          </w:p>
        </w:tc>
      </w:tr>
      <w:tr w:rsidR="006A701A" w:rsidRPr="008C7038" w14:paraId="6E1C8764" w14:textId="77777777" w:rsidTr="008C7038">
        <w:trPr>
          <w:gridAfter w:val="2"/>
          <w:wAfter w:w="124" w:type="dxa"/>
          <w:trHeight w:val="342"/>
        </w:trPr>
        <w:tc>
          <w:tcPr>
            <w:tcW w:w="10832" w:type="dxa"/>
            <w:gridSpan w:val="27"/>
            <w:shd w:val="clear" w:color="auto" w:fill="FFFFFF"/>
          </w:tcPr>
          <w:p w14:paraId="02C4D751" w14:textId="3E5F61CE" w:rsidR="00893F7B" w:rsidRDefault="00893F7B" w:rsidP="00052A6C">
            <w:pPr>
              <w:rPr>
                <w:rFonts w:ascii="Times New Roman" w:hAnsi="Times New Roman" w:cs="Times New Roman"/>
                <w:sz w:val="24"/>
                <w:szCs w:val="24"/>
              </w:rPr>
            </w:pPr>
            <w:r w:rsidRPr="008C7038">
              <w:rPr>
                <w:rFonts w:ascii="Times New Roman" w:hAnsi="Times New Roman" w:cs="Times New Roman"/>
                <w:sz w:val="24"/>
                <w:szCs w:val="24"/>
              </w:rPr>
              <w:t xml:space="preserve">W ramach konsultacji i opiniowania projekt </w:t>
            </w:r>
            <w:r w:rsidR="00DD0E5F">
              <w:rPr>
                <w:rFonts w:ascii="Times New Roman" w:hAnsi="Times New Roman" w:cs="Times New Roman"/>
                <w:sz w:val="24"/>
                <w:szCs w:val="24"/>
              </w:rPr>
              <w:t>otrzymają</w:t>
            </w:r>
            <w:r w:rsidRPr="008C7038">
              <w:rPr>
                <w:rFonts w:ascii="Times New Roman" w:hAnsi="Times New Roman" w:cs="Times New Roman"/>
                <w:sz w:val="24"/>
                <w:szCs w:val="24"/>
              </w:rPr>
              <w:t xml:space="preserve">: </w:t>
            </w:r>
          </w:p>
          <w:p w14:paraId="61F2D054" w14:textId="5B23470A" w:rsidR="00DD0E5F" w:rsidRPr="00DD0E5F" w:rsidRDefault="00E76E86" w:rsidP="00052A6C">
            <w:pPr>
              <w:rPr>
                <w:rFonts w:ascii="Times New Roman" w:hAnsi="Times New Roman" w:cs="Times New Roman"/>
                <w:sz w:val="24"/>
                <w:szCs w:val="24"/>
              </w:rPr>
            </w:pPr>
            <w:r>
              <w:rPr>
                <w:rFonts w:ascii="Times New Roman" w:hAnsi="Times New Roman" w:cs="Times New Roman"/>
                <w:sz w:val="24"/>
                <w:szCs w:val="24"/>
              </w:rPr>
              <w:t>1)</w:t>
            </w:r>
            <w:r w:rsidR="00DD0E5F" w:rsidRPr="00DD0E5F">
              <w:rPr>
                <w:rFonts w:ascii="Times New Roman" w:hAnsi="Times New Roman" w:cs="Times New Roman"/>
                <w:sz w:val="24"/>
                <w:szCs w:val="24"/>
              </w:rPr>
              <w:t xml:space="preserve"> Prezes Urzędu Komunikacji Elektronicznej</w:t>
            </w:r>
          </w:p>
          <w:p w14:paraId="3B2F05FA" w14:textId="0081C61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 Prezes Urzędu Regulacji Energetyki</w:t>
            </w:r>
          </w:p>
          <w:p w14:paraId="16050B09" w14:textId="24874B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Ochrony Konkurencji i Konsumentów</w:t>
            </w:r>
          </w:p>
          <w:p w14:paraId="5A85091F" w14:textId="73218F0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Ochrony Danych Osobowych</w:t>
            </w:r>
          </w:p>
          <w:p w14:paraId="3CBBD496" w14:textId="7EA589D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Głównego Urzędu Statystycznego</w:t>
            </w:r>
          </w:p>
          <w:p w14:paraId="0CD74EAB" w14:textId="10158AC1" w:rsidR="00DD0E5F" w:rsidRPr="00DD0E5F" w:rsidRDefault="00E76E86" w:rsidP="00052A6C">
            <w:pPr>
              <w:rPr>
                <w:rFonts w:ascii="Times New Roman" w:hAnsi="Times New Roman" w:cs="Times New Roman"/>
                <w:sz w:val="24"/>
                <w:szCs w:val="24"/>
              </w:rPr>
            </w:pPr>
            <w:r>
              <w:rPr>
                <w:rFonts w:ascii="Times New Roman" w:hAnsi="Times New Roman" w:cs="Times New Roman"/>
                <w:sz w:val="24"/>
                <w:szCs w:val="24"/>
              </w:rPr>
              <w:t xml:space="preserve">6) </w:t>
            </w:r>
            <w:r w:rsidR="00DD0E5F" w:rsidRPr="00DD0E5F">
              <w:rPr>
                <w:rFonts w:ascii="Times New Roman" w:hAnsi="Times New Roman" w:cs="Times New Roman"/>
                <w:sz w:val="24"/>
                <w:szCs w:val="24"/>
              </w:rPr>
              <w:t>Główny Geodeta Kraju</w:t>
            </w:r>
          </w:p>
          <w:p w14:paraId="3AF1B73C" w14:textId="2745516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Zamówień Publicznych</w:t>
            </w:r>
          </w:p>
          <w:p w14:paraId="660F4CB7" w14:textId="295067F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 Główny Inspektor Sanitarny</w:t>
            </w:r>
          </w:p>
          <w:p w14:paraId="73FEF31A" w14:textId="7C9220F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Główny Inspektor Nadzoru Budowlanego</w:t>
            </w:r>
          </w:p>
          <w:p w14:paraId="16C1187F" w14:textId="5F3E840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Urzędu Dozoru Technicznego</w:t>
            </w:r>
          </w:p>
          <w:p w14:paraId="08D570EB" w14:textId="13A67D2D"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Naczelny Dyrektor Archiwów Państwowych</w:t>
            </w:r>
          </w:p>
          <w:p w14:paraId="7F59A45C" w14:textId="71F4C07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Generalny Inspektor Ochrony Środowiska</w:t>
            </w:r>
          </w:p>
          <w:p w14:paraId="2D035815" w14:textId="4AB56EE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Naczelnego Sądu Administracyjnego</w:t>
            </w:r>
          </w:p>
          <w:p w14:paraId="7456DE70" w14:textId="4F1E61B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14)</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Zakładu Ubezpieczeń Społecznych</w:t>
            </w:r>
          </w:p>
          <w:p w14:paraId="43A07376" w14:textId="6A010EE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15)</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Kasy Rolniczego Ubezpieczenia Społecznego</w:t>
            </w:r>
          </w:p>
          <w:p w14:paraId="7D7A4A9C" w14:textId="2D7B7A6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16)</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Agencji Bezpieczeństwa Wewnętrznego</w:t>
            </w:r>
          </w:p>
          <w:p w14:paraId="578D2D38" w14:textId="1F0C8BC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17)</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Agencji Wywiadu</w:t>
            </w:r>
          </w:p>
          <w:p w14:paraId="5E0CA292" w14:textId="17BC6C1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18)</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Centralnego Biura Antykorupcyjnego</w:t>
            </w:r>
          </w:p>
          <w:p w14:paraId="25C5A417" w14:textId="3893C36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19)</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Służby Kontrwywiadu Wojskowego</w:t>
            </w:r>
          </w:p>
          <w:p w14:paraId="2A34D329" w14:textId="25F3340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20)</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Szef Służby Wywiadu Wojskowego</w:t>
            </w:r>
          </w:p>
          <w:p w14:paraId="47958657" w14:textId="6152C77F" w:rsidR="00DD0E5F" w:rsidRPr="00DD0E5F" w:rsidRDefault="00E76E86" w:rsidP="00052A6C">
            <w:pPr>
              <w:rPr>
                <w:rFonts w:ascii="Times New Roman" w:hAnsi="Times New Roman" w:cs="Times New Roman"/>
                <w:sz w:val="24"/>
                <w:szCs w:val="24"/>
              </w:rPr>
            </w:pPr>
            <w:r>
              <w:rPr>
                <w:rFonts w:ascii="Times New Roman" w:hAnsi="Times New Roman" w:cs="Times New Roman"/>
                <w:sz w:val="24"/>
                <w:szCs w:val="24"/>
              </w:rPr>
              <w:t>21)</w:t>
            </w:r>
            <w:r w:rsidR="00DD0E5F" w:rsidRPr="00DD0E5F">
              <w:rPr>
                <w:rFonts w:ascii="Times New Roman" w:hAnsi="Times New Roman" w:cs="Times New Roman"/>
                <w:sz w:val="24"/>
                <w:szCs w:val="24"/>
              </w:rPr>
              <w:t xml:space="preserve"> Prezes Sądu Najwyższego</w:t>
            </w:r>
          </w:p>
          <w:p w14:paraId="4E4F8528" w14:textId="359130E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22)</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Prezes Agencji Restrukturyzacji i Modernizacji Rolnictwa</w:t>
            </w:r>
          </w:p>
          <w:p w14:paraId="5BB4294B" w14:textId="05FC6D6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23)</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 xml:space="preserve">Polska Izba Informatyki i Telekomunikacji </w:t>
            </w:r>
          </w:p>
          <w:p w14:paraId="29A11351" w14:textId="72E7781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24)</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Gospodarcza Elektroniki i Telekomunikacji</w:t>
            </w:r>
          </w:p>
          <w:p w14:paraId="236EC193" w14:textId="2AAF883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25)</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Polska Izba Komunikacji Elektronicznej</w:t>
            </w:r>
          </w:p>
          <w:p w14:paraId="6B04F240" w14:textId="3F866C6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26)</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Gospodarcza</w:t>
            </w:r>
          </w:p>
          <w:p w14:paraId="37CE76E3" w14:textId="095DBF1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27)</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Krajowa Izba Komunikacji Internetowej</w:t>
            </w:r>
          </w:p>
          <w:p w14:paraId="06B3C333" w14:textId="54F296B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lastRenderedPageBreak/>
              <w:t>28)</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Polska Izba Radiodyfuzji Cyfrowej</w:t>
            </w:r>
          </w:p>
          <w:p w14:paraId="3954421C" w14:textId="00C856F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29)</w:t>
            </w:r>
            <w:r w:rsidR="00E76E86">
              <w:rPr>
                <w:rFonts w:ascii="Times New Roman" w:hAnsi="Times New Roman" w:cs="Times New Roman"/>
                <w:sz w:val="24"/>
                <w:szCs w:val="24"/>
              </w:rPr>
              <w:t xml:space="preserve"> </w:t>
            </w:r>
            <w:r w:rsidRPr="00DD0E5F">
              <w:rPr>
                <w:rFonts w:ascii="Times New Roman" w:hAnsi="Times New Roman" w:cs="Times New Roman"/>
                <w:sz w:val="24"/>
                <w:szCs w:val="24"/>
              </w:rPr>
              <w:t>Polska Izba Handlu</w:t>
            </w:r>
          </w:p>
          <w:p w14:paraId="70790A0E" w14:textId="0240BD5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30)</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Związek Banków Polskich</w:t>
            </w:r>
          </w:p>
          <w:p w14:paraId="6E83ABC7" w14:textId="3BAED50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31)</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Fundacja Bezpieczna Cyberprzestrzeń</w:t>
            </w:r>
          </w:p>
          <w:p w14:paraId="4C61D253" w14:textId="50E53A2D" w:rsidR="00DD0E5F" w:rsidRPr="00DD0E5F" w:rsidRDefault="00C9548B" w:rsidP="00052A6C">
            <w:pPr>
              <w:rPr>
                <w:rFonts w:ascii="Times New Roman" w:hAnsi="Times New Roman" w:cs="Times New Roman"/>
                <w:sz w:val="24"/>
                <w:szCs w:val="24"/>
              </w:rPr>
            </w:pPr>
            <w:r>
              <w:rPr>
                <w:rFonts w:ascii="Times New Roman" w:hAnsi="Times New Roman" w:cs="Times New Roman"/>
                <w:sz w:val="24"/>
                <w:szCs w:val="24"/>
              </w:rPr>
              <w:t xml:space="preserve">32) </w:t>
            </w:r>
            <w:r w:rsidR="00DD0E5F" w:rsidRPr="00DD0E5F">
              <w:rPr>
                <w:rFonts w:ascii="Times New Roman" w:hAnsi="Times New Roman" w:cs="Times New Roman"/>
                <w:sz w:val="24"/>
                <w:szCs w:val="24"/>
              </w:rPr>
              <w:t>Polskie Towarzystwo Informatyczne</w:t>
            </w:r>
          </w:p>
          <w:p w14:paraId="5FCE9CAE" w14:textId="04F5A5D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33) Fundacja Nowoczesna Polska</w:t>
            </w:r>
          </w:p>
          <w:p w14:paraId="145DB9F2" w14:textId="07389EE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34)</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Fundacja Projekt Polska</w:t>
            </w:r>
          </w:p>
          <w:p w14:paraId="6AB3409E" w14:textId="61ECC47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35)</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Stowarzyszenie Inżynierów Telekomunikacji</w:t>
            </w:r>
          </w:p>
          <w:p w14:paraId="79C2E714" w14:textId="0A541DF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36)</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Fundacja Panoptykon</w:t>
            </w:r>
          </w:p>
          <w:p w14:paraId="4527E9DE" w14:textId="7B629A89" w:rsidR="00DD0E5F" w:rsidRPr="00DD0E5F" w:rsidRDefault="00C9548B" w:rsidP="00052A6C">
            <w:pPr>
              <w:rPr>
                <w:rFonts w:ascii="Times New Roman" w:hAnsi="Times New Roman" w:cs="Times New Roman"/>
                <w:sz w:val="24"/>
                <w:szCs w:val="24"/>
              </w:rPr>
            </w:pPr>
            <w:r>
              <w:rPr>
                <w:rFonts w:ascii="Times New Roman" w:hAnsi="Times New Roman" w:cs="Times New Roman"/>
                <w:sz w:val="24"/>
                <w:szCs w:val="24"/>
              </w:rPr>
              <w:t xml:space="preserve">37) </w:t>
            </w:r>
            <w:r w:rsidR="00DD0E5F" w:rsidRPr="00DD0E5F">
              <w:rPr>
                <w:rFonts w:ascii="Times New Roman" w:hAnsi="Times New Roman" w:cs="Times New Roman"/>
                <w:sz w:val="24"/>
                <w:szCs w:val="24"/>
              </w:rPr>
              <w:t>Stowarzyszenie Naukowe Centrum Prawno – Informatyczne</w:t>
            </w:r>
          </w:p>
          <w:p w14:paraId="2743D061" w14:textId="32F9302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38)</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Forum Przewoźników Ekspresowych</w:t>
            </w:r>
          </w:p>
          <w:p w14:paraId="6F9DCDD6" w14:textId="1CB81AB7"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39) Ogólnopolski Związek Pracodawców Niepublicznych Operatorów Pocztowych</w:t>
            </w:r>
          </w:p>
          <w:p w14:paraId="13EE7837" w14:textId="4BB2AEF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40)</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Stowarzyszenie „Archiwizjoner”</w:t>
            </w:r>
          </w:p>
          <w:p w14:paraId="3E8697FE" w14:textId="7A1FC7ED"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41)</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Centrum Badań Problemów Prawnych i Ekonomicznych Komunikacji Elektronicznej Uniwersytetu Wrocławskiego</w:t>
            </w:r>
          </w:p>
          <w:p w14:paraId="4C81C616" w14:textId="005F980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42)</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Ogólnopolski Związek Zawodowy Pracowników Administracji Publicznej</w:t>
            </w:r>
          </w:p>
          <w:p w14:paraId="29991987" w14:textId="4AC54B6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43)</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Rada Biznesu</w:t>
            </w:r>
          </w:p>
          <w:p w14:paraId="71751A38" w14:textId="7198386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44)</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Ochrony Osób i Mienia</w:t>
            </w:r>
          </w:p>
          <w:p w14:paraId="347BCFCE" w14:textId="315786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45)</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Paliw Płynnych</w:t>
            </w:r>
          </w:p>
          <w:p w14:paraId="0CDFD640" w14:textId="4046638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46)</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Pośredników Ubezpieczeniowych i Finansowych</w:t>
            </w:r>
          </w:p>
          <w:p w14:paraId="022B0283" w14:textId="462AB06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47)</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Przemysłowo-Handlowa Budownictwa</w:t>
            </w:r>
          </w:p>
          <w:p w14:paraId="470C03FA" w14:textId="67A05A3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48)</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 Przemysłu Chemicznego</w:t>
            </w:r>
          </w:p>
          <w:p w14:paraId="330163FE" w14:textId="07BB20A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49)</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Przemysłu Farmaceutycznego i Wyrobów Medycznych Polfarmed</w:t>
            </w:r>
          </w:p>
          <w:p w14:paraId="5765CD68" w14:textId="0E3E8E0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50)</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Rzeczoznawstwa Majątkowego</w:t>
            </w:r>
          </w:p>
          <w:p w14:paraId="7785E937" w14:textId="545E524D"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51)</w:t>
            </w:r>
            <w:r w:rsidR="00C9548B">
              <w:rPr>
                <w:rFonts w:ascii="Times New Roman" w:hAnsi="Times New Roman" w:cs="Times New Roman"/>
                <w:sz w:val="24"/>
                <w:szCs w:val="24"/>
              </w:rPr>
              <w:t xml:space="preserve"> </w:t>
            </w:r>
            <w:r w:rsidRPr="00DD0E5F">
              <w:rPr>
                <w:rFonts w:ascii="Times New Roman" w:hAnsi="Times New Roman" w:cs="Times New Roman"/>
                <w:sz w:val="24"/>
                <w:szCs w:val="24"/>
              </w:rPr>
              <w:t>Polska Izba Ubezpieczeń</w:t>
            </w:r>
          </w:p>
          <w:p w14:paraId="6750EC66" w14:textId="6E4FE8F7" w:rsidR="00DD0E5F" w:rsidRPr="00DD0E5F" w:rsidRDefault="00C9548B" w:rsidP="00052A6C">
            <w:pPr>
              <w:rPr>
                <w:rFonts w:ascii="Times New Roman" w:hAnsi="Times New Roman" w:cs="Times New Roman"/>
                <w:sz w:val="24"/>
                <w:szCs w:val="24"/>
              </w:rPr>
            </w:pPr>
            <w:r>
              <w:rPr>
                <w:rFonts w:ascii="Times New Roman" w:hAnsi="Times New Roman" w:cs="Times New Roman"/>
                <w:sz w:val="24"/>
                <w:szCs w:val="24"/>
              </w:rPr>
              <w:t xml:space="preserve">52) </w:t>
            </w:r>
            <w:r w:rsidR="00DD0E5F" w:rsidRPr="00DD0E5F">
              <w:rPr>
                <w:rFonts w:ascii="Times New Roman" w:hAnsi="Times New Roman" w:cs="Times New Roman"/>
                <w:sz w:val="24"/>
                <w:szCs w:val="24"/>
              </w:rPr>
              <w:t>Polska Izb Cła, Logistyki i Spedycji</w:t>
            </w:r>
          </w:p>
          <w:p w14:paraId="2689E3FE" w14:textId="45EACD10" w:rsidR="00DD0E5F" w:rsidRPr="00DD0E5F" w:rsidRDefault="004059FE" w:rsidP="00052A6C">
            <w:pPr>
              <w:rPr>
                <w:rFonts w:ascii="Times New Roman" w:hAnsi="Times New Roman" w:cs="Times New Roman"/>
                <w:sz w:val="24"/>
                <w:szCs w:val="24"/>
              </w:rPr>
            </w:pPr>
            <w:r>
              <w:rPr>
                <w:rFonts w:ascii="Times New Roman" w:hAnsi="Times New Roman" w:cs="Times New Roman"/>
                <w:sz w:val="24"/>
                <w:szCs w:val="24"/>
              </w:rPr>
              <w:t xml:space="preserve">53) </w:t>
            </w:r>
            <w:r w:rsidR="00DD0E5F" w:rsidRPr="00DD0E5F">
              <w:rPr>
                <w:rFonts w:ascii="Times New Roman" w:hAnsi="Times New Roman" w:cs="Times New Roman"/>
                <w:sz w:val="24"/>
                <w:szCs w:val="24"/>
              </w:rPr>
              <w:t>Polska Izba Gospodarcza Eksporterów, Importerów i Kooperacji</w:t>
            </w:r>
          </w:p>
          <w:p w14:paraId="12FC4012" w14:textId="7F198AC8" w:rsidR="00DD0E5F" w:rsidRPr="00DD0E5F" w:rsidRDefault="004059FE" w:rsidP="00052A6C">
            <w:pPr>
              <w:rPr>
                <w:rFonts w:ascii="Times New Roman" w:hAnsi="Times New Roman" w:cs="Times New Roman"/>
                <w:sz w:val="24"/>
                <w:szCs w:val="24"/>
              </w:rPr>
            </w:pPr>
            <w:r>
              <w:rPr>
                <w:rFonts w:ascii="Times New Roman" w:hAnsi="Times New Roman" w:cs="Times New Roman"/>
                <w:sz w:val="24"/>
                <w:szCs w:val="24"/>
              </w:rPr>
              <w:t>54)</w:t>
            </w:r>
            <w:r w:rsidR="00DD0E5F" w:rsidRPr="00DD0E5F">
              <w:rPr>
                <w:rFonts w:ascii="Times New Roman" w:hAnsi="Times New Roman" w:cs="Times New Roman"/>
                <w:sz w:val="24"/>
                <w:szCs w:val="24"/>
              </w:rPr>
              <w:t xml:space="preserve"> Polska Izba Gospodarcza Transportu Samochodowego i Spedycji</w:t>
            </w:r>
          </w:p>
          <w:p w14:paraId="7232C03D" w14:textId="77C84D6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55)</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Polska Izba Gospodarki Odpadami</w:t>
            </w:r>
          </w:p>
          <w:p w14:paraId="2005CBDD" w14:textId="72C73C5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56)</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Polska Izba Inżynierów Budownictwa</w:t>
            </w:r>
          </w:p>
          <w:p w14:paraId="196A9FC0" w14:textId="3E31E7F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57)</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Polskie Towarzystwo Elektrociepłowni Zawodowych</w:t>
            </w:r>
          </w:p>
          <w:p w14:paraId="2A7F40A6" w14:textId="628642B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58)</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Polskie Towarzystwo Przemysłu i Rozdziału Energii Elektrycznej</w:t>
            </w:r>
          </w:p>
          <w:p w14:paraId="6EDFE71C" w14:textId="583AB58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59)</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Agencji Zatrudnienia</w:t>
            </w:r>
          </w:p>
          <w:p w14:paraId="1EB20FF7" w14:textId="6F894947"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60)</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Archiwistów Polskich</w:t>
            </w:r>
          </w:p>
          <w:p w14:paraId="301B34B3" w14:textId="5996713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61)</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Eksporterów Polskich</w:t>
            </w:r>
          </w:p>
          <w:p w14:paraId="1EC172D3" w14:textId="494D1A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62)</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Emitentów Giełdowych</w:t>
            </w:r>
          </w:p>
          <w:p w14:paraId="7E5EBA2D" w14:textId="4F0761B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63)</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Geodetów Polskich</w:t>
            </w:r>
          </w:p>
          <w:p w14:paraId="13195307" w14:textId="0036D8B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64)</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Konsumentów Polskich</w:t>
            </w:r>
          </w:p>
          <w:p w14:paraId="4D92DEA0" w14:textId="5108874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65)</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Księgowych w Polsce</w:t>
            </w:r>
          </w:p>
          <w:p w14:paraId="16738AFA" w14:textId="3DA85C1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66)</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Polskich Brokerów Polska Izba Brokerów</w:t>
            </w:r>
          </w:p>
          <w:p w14:paraId="69A74D0B" w14:textId="15440E5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67)</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Stowarzyszenie Polskich Energetyków</w:t>
            </w:r>
          </w:p>
          <w:p w14:paraId="52438FFD" w14:textId="1B64324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68)</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 xml:space="preserve">Zrzeszenie Prawników Polskich </w:t>
            </w:r>
          </w:p>
          <w:p w14:paraId="04F7B375" w14:textId="0EE61AC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69)</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"Wodociągi Polskie”</w:t>
            </w:r>
          </w:p>
          <w:p w14:paraId="2DAC3B1D" w14:textId="56FA2E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70)</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„Apteka Polska</w:t>
            </w:r>
          </w:p>
          <w:p w14:paraId="4364966F" w14:textId="3EDB5F5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71)</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Ciepłownictwo Polskie</w:t>
            </w:r>
          </w:p>
          <w:p w14:paraId="04EC046F" w14:textId="5980FDB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72)</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Gospodarcza Gazownictwa</w:t>
            </w:r>
          </w:p>
          <w:p w14:paraId="6D72BD36" w14:textId="455277B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73)</w:t>
            </w:r>
            <w:r w:rsidR="004059FE">
              <w:rPr>
                <w:rFonts w:ascii="Times New Roman" w:hAnsi="Times New Roman" w:cs="Times New Roman"/>
                <w:sz w:val="24"/>
                <w:szCs w:val="24"/>
              </w:rPr>
              <w:t xml:space="preserve"> </w:t>
            </w:r>
            <w:r w:rsidRPr="00DD0E5F">
              <w:rPr>
                <w:rFonts w:ascii="Times New Roman" w:hAnsi="Times New Roman" w:cs="Times New Roman"/>
                <w:sz w:val="24"/>
                <w:szCs w:val="24"/>
              </w:rPr>
              <w:t>Izba Przemysłowo – Handlowa Inwestorów Zagranicznych w Polsce</w:t>
            </w:r>
          </w:p>
          <w:p w14:paraId="65D1A4DF" w14:textId="470A4241" w:rsidR="00DD0E5F" w:rsidRPr="00DD0E5F" w:rsidRDefault="00077CD1" w:rsidP="00052A6C">
            <w:pPr>
              <w:rPr>
                <w:rFonts w:ascii="Times New Roman" w:hAnsi="Times New Roman" w:cs="Times New Roman"/>
                <w:sz w:val="24"/>
                <w:szCs w:val="24"/>
              </w:rPr>
            </w:pPr>
            <w:r>
              <w:rPr>
                <w:rFonts w:ascii="Times New Roman" w:hAnsi="Times New Roman" w:cs="Times New Roman"/>
                <w:sz w:val="24"/>
                <w:szCs w:val="24"/>
              </w:rPr>
              <w:t>74)</w:t>
            </w:r>
            <w:r w:rsidR="00DD0E5F" w:rsidRPr="00DD0E5F">
              <w:rPr>
                <w:rFonts w:ascii="Times New Roman" w:hAnsi="Times New Roman" w:cs="Times New Roman"/>
                <w:sz w:val="24"/>
                <w:szCs w:val="24"/>
              </w:rPr>
              <w:t xml:space="preserve"> Izba Zarządzających Funduszami i Aktywami</w:t>
            </w:r>
          </w:p>
          <w:p w14:paraId="36AEDA5A" w14:textId="652019D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75)</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Naczelna Rada Adwokacka</w:t>
            </w:r>
          </w:p>
          <w:p w14:paraId="6CFB7247" w14:textId="5A939DD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76)</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Naczelna Rada Zrzeszeń Handlu i Usług</w:t>
            </w:r>
          </w:p>
          <w:p w14:paraId="055C07DB" w14:textId="4289EA5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77)</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Polski Komitet Normalizacyjny</w:t>
            </w:r>
          </w:p>
          <w:p w14:paraId="36A60BFD" w14:textId="75F961C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78)</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Geodezyjna Izba Gospodarcza</w:t>
            </w:r>
          </w:p>
          <w:p w14:paraId="1B26C1ED" w14:textId="4FA3B5B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79</w:t>
            </w:r>
            <w:r w:rsidR="00077CD1">
              <w:rPr>
                <w:rFonts w:ascii="Times New Roman" w:hAnsi="Times New Roman" w:cs="Times New Roman"/>
                <w:sz w:val="24"/>
                <w:szCs w:val="24"/>
              </w:rPr>
              <w:t>)</w:t>
            </w:r>
            <w:r w:rsidRPr="00DD0E5F">
              <w:rPr>
                <w:rFonts w:ascii="Times New Roman" w:hAnsi="Times New Roman" w:cs="Times New Roman"/>
                <w:sz w:val="24"/>
                <w:szCs w:val="24"/>
              </w:rPr>
              <w:t xml:space="preserve"> Górnicza Izba Przemysłowo- Handlowa</w:t>
            </w:r>
          </w:p>
          <w:p w14:paraId="38EA72D8" w14:textId="40850B5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80)</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Hutnicza Izba Przemysłowo – Handlowa</w:t>
            </w:r>
          </w:p>
          <w:p w14:paraId="1544A8D4" w14:textId="67945E7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81)</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Izba Domów Maklerskich</w:t>
            </w:r>
          </w:p>
          <w:p w14:paraId="060D9720" w14:textId="1CE6104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lastRenderedPageBreak/>
              <w:t>82)</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Biopaliw</w:t>
            </w:r>
          </w:p>
          <w:p w14:paraId="526B4C63" w14:textId="437DE95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83)</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Gospodarcza Elektroniki i Telekomunikacji</w:t>
            </w:r>
          </w:p>
          <w:p w14:paraId="795E60C8" w14:textId="33BCCE2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84)</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Gospodarki Morskiej</w:t>
            </w:r>
          </w:p>
          <w:p w14:paraId="34B3CB4C" w14:textId="7162EF2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85)</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Izby Gospodarki Odpadami</w:t>
            </w:r>
          </w:p>
          <w:p w14:paraId="708AF926" w14:textId="3C951A2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86)</w:t>
            </w:r>
            <w:r w:rsidR="00077CD1">
              <w:rPr>
                <w:rFonts w:ascii="Times New Roman" w:hAnsi="Times New Roman" w:cs="Times New Roman"/>
                <w:sz w:val="24"/>
                <w:szCs w:val="24"/>
              </w:rPr>
              <w:t xml:space="preserve"> </w:t>
            </w:r>
            <w:r w:rsidRPr="00DD0E5F">
              <w:rPr>
                <w:rFonts w:ascii="Times New Roman" w:hAnsi="Times New Roman" w:cs="Times New Roman"/>
                <w:sz w:val="24"/>
                <w:szCs w:val="24"/>
              </w:rPr>
              <w:t>Krajowa Izba Rozliczeniowa</w:t>
            </w:r>
          </w:p>
          <w:p w14:paraId="1E851F24" w14:textId="5A3103DB" w:rsidR="00DD0E5F" w:rsidRPr="00DD0E5F" w:rsidRDefault="00077CD1" w:rsidP="00052A6C">
            <w:pPr>
              <w:rPr>
                <w:rFonts w:ascii="Times New Roman" w:hAnsi="Times New Roman" w:cs="Times New Roman"/>
                <w:sz w:val="24"/>
                <w:szCs w:val="24"/>
              </w:rPr>
            </w:pPr>
            <w:r>
              <w:rPr>
                <w:rFonts w:ascii="Times New Roman" w:hAnsi="Times New Roman" w:cs="Times New Roman"/>
                <w:sz w:val="24"/>
                <w:szCs w:val="24"/>
              </w:rPr>
              <w:t xml:space="preserve">87) </w:t>
            </w:r>
            <w:r w:rsidR="00DD0E5F" w:rsidRPr="00DD0E5F">
              <w:rPr>
                <w:rFonts w:ascii="Times New Roman" w:hAnsi="Times New Roman" w:cs="Times New Roman"/>
                <w:sz w:val="24"/>
                <w:szCs w:val="24"/>
              </w:rPr>
              <w:t>Krajowa Rada Spółdzielcza</w:t>
            </w:r>
          </w:p>
          <w:p w14:paraId="74087720" w14:textId="1A6FB80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88) Towarzystwo Gospodarcze Polskie Elektrownie</w:t>
            </w:r>
          </w:p>
          <w:p w14:paraId="03CEF8AB" w14:textId="4AF3B99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89) Towarzystwo Obrotu Energią</w:t>
            </w:r>
          </w:p>
          <w:p w14:paraId="36267D48" w14:textId="03238F8E"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 xml:space="preserve">90) Związek Maklerów i Doradców </w:t>
            </w:r>
          </w:p>
          <w:p w14:paraId="7DA0FFBB" w14:textId="0646E8D2"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91) Związek Przedsiębiorstw Leasingowych</w:t>
            </w:r>
          </w:p>
          <w:p w14:paraId="247F9B34" w14:textId="695E768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92) Polska Agencja Informacji i Inwestycji Zagranicznych</w:t>
            </w:r>
          </w:p>
          <w:p w14:paraId="4E71CD84" w14:textId="67F66A1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93) Polska Agencja Rozwoju Przedsiębiorczości</w:t>
            </w:r>
          </w:p>
          <w:p w14:paraId="7EE6208F" w14:textId="7350900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94) Polska Federacja Rynku Nieruchomości</w:t>
            </w:r>
          </w:p>
          <w:p w14:paraId="5D7C0575" w14:textId="74B1512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95) Polska Federacja Stowarzyszeń Rzeczoznawców Majątkowych</w:t>
            </w:r>
          </w:p>
          <w:p w14:paraId="79EA4EEA" w14:textId="51840AE1"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96) Instytut Logistyki i Magazynowania</w:t>
            </w:r>
          </w:p>
          <w:p w14:paraId="2CE2590D" w14:textId="51A24A5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97) Polska Organizacja Gazu Płynnego</w:t>
            </w:r>
          </w:p>
          <w:p w14:paraId="027F0CE3" w14:textId="5A0B5F1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98) Polska Organizacja Handlu i Dystrybucji</w:t>
            </w:r>
          </w:p>
          <w:p w14:paraId="5F1E06AD" w14:textId="014D0ED8"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99) Krajowa Izba Biegłych Rewidentów</w:t>
            </w:r>
          </w:p>
          <w:p w14:paraId="1DF30D1E" w14:textId="043F1B2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100) Krajowa Izba Doradców Podatkowych</w:t>
            </w:r>
          </w:p>
          <w:p w14:paraId="104B0275" w14:textId="0400B6B5"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101) Krajowa Izba Doradców Restrukturyzacyjnych</w:t>
            </w:r>
          </w:p>
          <w:p w14:paraId="28A9EBB7" w14:textId="2A6DE41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102) Krajowa Izba Rozliczeniowa</w:t>
            </w:r>
          </w:p>
          <w:p w14:paraId="19C4A193" w14:textId="54D38EC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103) Krajowa Rada Izb Rolniczych</w:t>
            </w:r>
          </w:p>
          <w:p w14:paraId="277752EE" w14:textId="531A84C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104) Krajowa Rada Komornicza</w:t>
            </w:r>
          </w:p>
          <w:p w14:paraId="27B535BA" w14:textId="3B64772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105) Krajowa Rada Notarialna</w:t>
            </w:r>
          </w:p>
          <w:p w14:paraId="6DDADC10" w14:textId="183BB0C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106) Krajowa Rada Radców Prawnych</w:t>
            </w:r>
          </w:p>
          <w:p w14:paraId="00393433" w14:textId="44F91F6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107) Krajowa Rada Sądownictwa</w:t>
            </w:r>
          </w:p>
          <w:p w14:paraId="2D9428AC" w14:textId="24358D5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108) Krajowy Związek Rolników Kółek i Organizacji Rolniczych</w:t>
            </w:r>
          </w:p>
          <w:p w14:paraId="27E92568" w14:textId="0715B715" w:rsidR="00DD0E5F" w:rsidRPr="00DD0E5F" w:rsidRDefault="007749FC" w:rsidP="00052A6C">
            <w:pPr>
              <w:rPr>
                <w:rFonts w:ascii="Times New Roman" w:hAnsi="Times New Roman" w:cs="Times New Roman"/>
                <w:sz w:val="24"/>
                <w:szCs w:val="24"/>
              </w:rPr>
            </w:pPr>
            <w:r>
              <w:rPr>
                <w:rFonts w:ascii="Times New Roman" w:hAnsi="Times New Roman" w:cs="Times New Roman"/>
                <w:sz w:val="24"/>
                <w:szCs w:val="24"/>
              </w:rPr>
              <w:t>109)</w:t>
            </w:r>
            <w:r w:rsidR="00DD0E5F" w:rsidRPr="00DD0E5F">
              <w:rPr>
                <w:rFonts w:ascii="Times New Roman" w:hAnsi="Times New Roman" w:cs="Times New Roman"/>
                <w:sz w:val="24"/>
                <w:szCs w:val="24"/>
              </w:rPr>
              <w:t xml:space="preserve"> Poczta Polska</w:t>
            </w:r>
          </w:p>
          <w:p w14:paraId="364CBD41" w14:textId="2372B78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110) Instytut Pocztowy</w:t>
            </w:r>
          </w:p>
          <w:p w14:paraId="3905427A" w14:textId="02F8A90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111) Krajowy Ośrodek Wsparcia Rolnictwa</w:t>
            </w:r>
          </w:p>
          <w:p w14:paraId="19D41053" w14:textId="1878BD8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112) Stowarzyszenie Sędziów Polskich „Iustitia”</w:t>
            </w:r>
          </w:p>
          <w:p w14:paraId="7782F6FF" w14:textId="6B0C551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 xml:space="preserve">113) Europejskie Centrum Konsumenckie </w:t>
            </w:r>
          </w:p>
          <w:p w14:paraId="764A9356" w14:textId="53292ACC"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114) Federacja – Porozumienie Polskiego Rynku Nieruchomości</w:t>
            </w:r>
          </w:p>
          <w:p w14:paraId="26035071" w14:textId="3E3C9121" w:rsidR="00DD0E5F" w:rsidRPr="00DD0E5F" w:rsidRDefault="007749FC" w:rsidP="00052A6C">
            <w:pPr>
              <w:rPr>
                <w:rFonts w:ascii="Times New Roman" w:hAnsi="Times New Roman" w:cs="Times New Roman"/>
                <w:sz w:val="24"/>
                <w:szCs w:val="24"/>
              </w:rPr>
            </w:pPr>
            <w:r>
              <w:rPr>
                <w:rFonts w:ascii="Times New Roman" w:hAnsi="Times New Roman" w:cs="Times New Roman"/>
                <w:sz w:val="24"/>
                <w:szCs w:val="24"/>
              </w:rPr>
              <w:t>115)</w:t>
            </w:r>
            <w:r w:rsidR="00DD0E5F" w:rsidRPr="00DD0E5F">
              <w:rPr>
                <w:rFonts w:ascii="Times New Roman" w:hAnsi="Times New Roman" w:cs="Times New Roman"/>
                <w:sz w:val="24"/>
                <w:szCs w:val="24"/>
              </w:rPr>
              <w:t xml:space="preserve"> Fundacja Małych i Średnich Przedsiębiorstw</w:t>
            </w:r>
          </w:p>
          <w:p w14:paraId="6831BED0" w14:textId="349876BB"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116) Instytut Badań nad Demokracją i Przedsiębiorstwem Prywatnym</w:t>
            </w:r>
          </w:p>
          <w:p w14:paraId="57722181" w14:textId="580FB24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117) Kongres Budownictwa</w:t>
            </w:r>
          </w:p>
          <w:p w14:paraId="507C39F0" w14:textId="6D385A63"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118) Krajowa Federacja Konsumentów</w:t>
            </w:r>
          </w:p>
          <w:p w14:paraId="48C7917E" w14:textId="09AB127A"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119) Krajowy Związek Rolników Kółek i Organizacji Rolniczych</w:t>
            </w:r>
          </w:p>
          <w:p w14:paraId="2B25586E" w14:textId="02F0913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120) Dolnośląski Urząd Wojewódzki</w:t>
            </w:r>
          </w:p>
          <w:p w14:paraId="52BE3CA4" w14:textId="61FEA11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121) Kujawsko- Pomorski Urząd Wojewódzki</w:t>
            </w:r>
          </w:p>
          <w:p w14:paraId="672940C2" w14:textId="0078156F"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122) Lubelski Urząd Wojewódzki</w:t>
            </w:r>
          </w:p>
          <w:p w14:paraId="34A642DF" w14:textId="19DAEE69"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123) Lubuski Urząd Wojewódzki</w:t>
            </w:r>
          </w:p>
          <w:p w14:paraId="69602A2B" w14:textId="7EF8F6A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124) Łódzki Urząd Wojewódzki</w:t>
            </w:r>
          </w:p>
          <w:p w14:paraId="293EA690" w14:textId="301A649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125) Małopolski Urząd Wojewódzki</w:t>
            </w:r>
          </w:p>
          <w:p w14:paraId="6388AE37" w14:textId="7F915B27"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126) Mazowiecki Urząd Wojewódzki</w:t>
            </w:r>
          </w:p>
          <w:p w14:paraId="0D904DE6" w14:textId="148C3C6A" w:rsidR="00DD0E5F" w:rsidRPr="00DD0E5F" w:rsidRDefault="007A1A74" w:rsidP="00052A6C">
            <w:pPr>
              <w:rPr>
                <w:rFonts w:ascii="Times New Roman" w:hAnsi="Times New Roman" w:cs="Times New Roman"/>
                <w:sz w:val="24"/>
                <w:szCs w:val="24"/>
              </w:rPr>
            </w:pPr>
            <w:r>
              <w:rPr>
                <w:rFonts w:ascii="Times New Roman" w:hAnsi="Times New Roman" w:cs="Times New Roman"/>
                <w:sz w:val="24"/>
                <w:szCs w:val="24"/>
              </w:rPr>
              <w:t>127)</w:t>
            </w:r>
            <w:r w:rsidR="00DD0E5F" w:rsidRPr="00DD0E5F">
              <w:rPr>
                <w:rFonts w:ascii="Times New Roman" w:hAnsi="Times New Roman" w:cs="Times New Roman"/>
                <w:sz w:val="24"/>
                <w:szCs w:val="24"/>
              </w:rPr>
              <w:t xml:space="preserve"> Śląski Urząd Wojewódzki</w:t>
            </w:r>
          </w:p>
          <w:p w14:paraId="740922D4" w14:textId="62F6690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128) Świętokrzyski Urząd Wojewódzki</w:t>
            </w:r>
          </w:p>
          <w:p w14:paraId="1D8A1AA6" w14:textId="22280610"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129) Opolski Urząd Wojewódzki</w:t>
            </w:r>
          </w:p>
          <w:p w14:paraId="562D210E" w14:textId="747D697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130) Podkarpacki Urząd Wojewódzki</w:t>
            </w:r>
          </w:p>
          <w:p w14:paraId="1C59EC42" w14:textId="0A437896"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131) Podlaski Urząd Wojewódzki</w:t>
            </w:r>
          </w:p>
          <w:p w14:paraId="40C94F1B" w14:textId="5975C644" w:rsidR="00DD0E5F" w:rsidRPr="00DD0E5F" w:rsidRDefault="00DD0E5F" w:rsidP="00052A6C">
            <w:pPr>
              <w:rPr>
                <w:rFonts w:ascii="Times New Roman" w:hAnsi="Times New Roman" w:cs="Times New Roman"/>
                <w:sz w:val="24"/>
                <w:szCs w:val="24"/>
              </w:rPr>
            </w:pPr>
            <w:r w:rsidRPr="00DD0E5F">
              <w:rPr>
                <w:rFonts w:ascii="Times New Roman" w:hAnsi="Times New Roman" w:cs="Times New Roman"/>
                <w:sz w:val="24"/>
                <w:szCs w:val="24"/>
              </w:rPr>
              <w:t>132) Pomorski Urząd Wojewódzki</w:t>
            </w:r>
          </w:p>
          <w:p w14:paraId="05ECA251" w14:textId="00BBAF89" w:rsidR="00DD0E5F" w:rsidRPr="00DD0E5F" w:rsidRDefault="00DD0E5F" w:rsidP="00052A6C">
            <w:pPr>
              <w:spacing w:after="120"/>
              <w:rPr>
                <w:rFonts w:ascii="Times New Roman" w:hAnsi="Times New Roman" w:cs="Times New Roman"/>
                <w:sz w:val="24"/>
                <w:szCs w:val="24"/>
              </w:rPr>
            </w:pPr>
            <w:r w:rsidRPr="00DD0E5F">
              <w:rPr>
                <w:rFonts w:ascii="Times New Roman" w:hAnsi="Times New Roman" w:cs="Times New Roman"/>
                <w:sz w:val="24"/>
                <w:szCs w:val="24"/>
              </w:rPr>
              <w:t>133) Warmińsko – Mazurskiego Urząd Wojewódzki</w:t>
            </w:r>
          </w:p>
          <w:p w14:paraId="2A66D822" w14:textId="3597D288" w:rsidR="00AC55C0" w:rsidRPr="00AC55C0" w:rsidRDefault="00052A6C" w:rsidP="00AC55C0">
            <w:pPr>
              <w:rPr>
                <w:rFonts w:ascii="Times New Roman" w:hAnsi="Times New Roman" w:cs="Times New Roman"/>
                <w:bCs/>
                <w:sz w:val="24"/>
                <w:szCs w:val="24"/>
              </w:rPr>
            </w:pPr>
            <w:r>
              <w:rPr>
                <w:rFonts w:ascii="Times New Roman" w:hAnsi="Times New Roman" w:cs="Times New Roman"/>
                <w:sz w:val="24"/>
                <w:szCs w:val="24"/>
              </w:rPr>
              <w:t xml:space="preserve">A także </w:t>
            </w:r>
            <w:r w:rsidR="00AC55C0" w:rsidRPr="00AC55C0">
              <w:rPr>
                <w:rFonts w:ascii="Times New Roman" w:hAnsi="Times New Roman" w:cs="Times New Roman"/>
                <w:bCs/>
                <w:sz w:val="24"/>
                <w:szCs w:val="24"/>
              </w:rPr>
              <w:t>związki zawodowe i organizacje pracodawców:</w:t>
            </w:r>
          </w:p>
          <w:p w14:paraId="467E4C4B"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 Rada Dialogu Społecznego</w:t>
            </w:r>
          </w:p>
          <w:p w14:paraId="7641BF12"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2)</w:t>
            </w:r>
            <w:r w:rsidRPr="00DD0E5F">
              <w:rPr>
                <w:rFonts w:ascii="Times New Roman" w:hAnsi="Times New Roman" w:cs="Times New Roman"/>
                <w:sz w:val="24"/>
                <w:szCs w:val="24"/>
              </w:rPr>
              <w:t xml:space="preserve"> Business Centre Club – Związku Pracodawców</w:t>
            </w:r>
          </w:p>
          <w:p w14:paraId="534C0FF9"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DD0E5F">
              <w:rPr>
                <w:rFonts w:ascii="Times New Roman" w:hAnsi="Times New Roman" w:cs="Times New Roman"/>
                <w:sz w:val="24"/>
                <w:szCs w:val="24"/>
              </w:rPr>
              <w:t>Niezależny Samorządny Związek Zawodowy „Solidarność”</w:t>
            </w:r>
          </w:p>
          <w:p w14:paraId="280D95CE"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4)</w:t>
            </w:r>
            <w:r>
              <w:rPr>
                <w:rFonts w:ascii="Times New Roman" w:hAnsi="Times New Roman" w:cs="Times New Roman"/>
                <w:sz w:val="24"/>
                <w:szCs w:val="24"/>
              </w:rPr>
              <w:t xml:space="preserve"> </w:t>
            </w:r>
            <w:r w:rsidRPr="00DD0E5F">
              <w:rPr>
                <w:rFonts w:ascii="Times New Roman" w:hAnsi="Times New Roman" w:cs="Times New Roman"/>
                <w:sz w:val="24"/>
                <w:szCs w:val="24"/>
              </w:rPr>
              <w:t>Ogólnopolskie Porozumienie Związków Zawodowych</w:t>
            </w:r>
          </w:p>
          <w:p w14:paraId="2C38CB37"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 xml:space="preserve">5) </w:t>
            </w:r>
            <w:r w:rsidRPr="00DD0E5F">
              <w:rPr>
                <w:rFonts w:ascii="Times New Roman" w:hAnsi="Times New Roman" w:cs="Times New Roman"/>
                <w:sz w:val="24"/>
                <w:szCs w:val="24"/>
              </w:rPr>
              <w:t>Forum Związków Zawodowych</w:t>
            </w:r>
          </w:p>
          <w:p w14:paraId="19D8CC7B"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 xml:space="preserve">6) </w:t>
            </w:r>
            <w:r w:rsidRPr="00DD0E5F">
              <w:rPr>
                <w:rFonts w:ascii="Times New Roman" w:hAnsi="Times New Roman" w:cs="Times New Roman"/>
                <w:sz w:val="24"/>
                <w:szCs w:val="24"/>
              </w:rPr>
              <w:t xml:space="preserve">Pracodawcy Rzeczypospolitej Polskiej </w:t>
            </w:r>
          </w:p>
          <w:p w14:paraId="2D2959CF"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7)</w:t>
            </w:r>
            <w:r>
              <w:rPr>
                <w:rFonts w:ascii="Times New Roman" w:hAnsi="Times New Roman" w:cs="Times New Roman"/>
                <w:sz w:val="24"/>
                <w:szCs w:val="24"/>
              </w:rPr>
              <w:t xml:space="preserve"> </w:t>
            </w:r>
            <w:r w:rsidRPr="00DD0E5F">
              <w:rPr>
                <w:rFonts w:ascii="Times New Roman" w:hAnsi="Times New Roman" w:cs="Times New Roman"/>
                <w:sz w:val="24"/>
                <w:szCs w:val="24"/>
              </w:rPr>
              <w:t>Konfederacja Lewiatan</w:t>
            </w:r>
          </w:p>
          <w:p w14:paraId="26672CD9"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8) Związek Przedsiębiorców i Pracodawców</w:t>
            </w:r>
          </w:p>
          <w:p w14:paraId="5F3041B8"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9)</w:t>
            </w:r>
            <w:r>
              <w:rPr>
                <w:rFonts w:ascii="Times New Roman" w:hAnsi="Times New Roman" w:cs="Times New Roman"/>
                <w:sz w:val="24"/>
                <w:szCs w:val="24"/>
              </w:rPr>
              <w:t xml:space="preserve"> </w:t>
            </w:r>
            <w:r w:rsidRPr="00DD0E5F">
              <w:rPr>
                <w:rFonts w:ascii="Times New Roman" w:hAnsi="Times New Roman" w:cs="Times New Roman"/>
                <w:sz w:val="24"/>
                <w:szCs w:val="24"/>
              </w:rPr>
              <w:t>Związek Rzemiosła Polskiego</w:t>
            </w:r>
          </w:p>
          <w:p w14:paraId="59561538"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10)</w:t>
            </w:r>
            <w:r>
              <w:rPr>
                <w:rFonts w:ascii="Times New Roman" w:hAnsi="Times New Roman" w:cs="Times New Roman"/>
                <w:sz w:val="24"/>
                <w:szCs w:val="24"/>
              </w:rPr>
              <w:t xml:space="preserve"> </w:t>
            </w:r>
            <w:r w:rsidRPr="00DD0E5F">
              <w:rPr>
                <w:rFonts w:ascii="Times New Roman" w:hAnsi="Times New Roman" w:cs="Times New Roman"/>
                <w:sz w:val="24"/>
                <w:szCs w:val="24"/>
              </w:rPr>
              <w:t>Zrzeszenie Związków Zawodowych Energetyków</w:t>
            </w:r>
          </w:p>
          <w:p w14:paraId="5678FC54"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11)</w:t>
            </w:r>
            <w:r>
              <w:rPr>
                <w:rFonts w:ascii="Times New Roman" w:hAnsi="Times New Roman" w:cs="Times New Roman"/>
                <w:sz w:val="24"/>
                <w:szCs w:val="24"/>
              </w:rPr>
              <w:t xml:space="preserve"> </w:t>
            </w:r>
            <w:r w:rsidRPr="00DD0E5F">
              <w:rPr>
                <w:rFonts w:ascii="Times New Roman" w:hAnsi="Times New Roman" w:cs="Times New Roman"/>
                <w:sz w:val="24"/>
                <w:szCs w:val="24"/>
              </w:rPr>
              <w:t>Polski Związek Pracodawców Budownictwa</w:t>
            </w:r>
          </w:p>
          <w:p w14:paraId="7A750D6F" w14:textId="77777777" w:rsidR="00AC55C0" w:rsidRPr="00DD0E5F" w:rsidRDefault="00AC55C0" w:rsidP="00AC55C0">
            <w:pPr>
              <w:rPr>
                <w:rFonts w:ascii="Times New Roman" w:hAnsi="Times New Roman" w:cs="Times New Roman"/>
                <w:sz w:val="24"/>
                <w:szCs w:val="24"/>
              </w:rPr>
            </w:pPr>
            <w:r>
              <w:rPr>
                <w:rFonts w:ascii="Times New Roman" w:hAnsi="Times New Roman" w:cs="Times New Roman"/>
                <w:sz w:val="24"/>
                <w:szCs w:val="24"/>
              </w:rPr>
              <w:t xml:space="preserve">12) </w:t>
            </w:r>
            <w:r w:rsidRPr="00DD0E5F">
              <w:rPr>
                <w:rFonts w:ascii="Times New Roman" w:hAnsi="Times New Roman" w:cs="Times New Roman"/>
                <w:sz w:val="24"/>
                <w:szCs w:val="24"/>
              </w:rPr>
              <w:t>Związek Pracodawców Mediów Publicznych</w:t>
            </w:r>
          </w:p>
          <w:p w14:paraId="7791633E" w14:textId="77777777" w:rsidR="00AC55C0" w:rsidRPr="00DD0E5F" w:rsidRDefault="00AC55C0" w:rsidP="00AC55C0">
            <w:pPr>
              <w:rPr>
                <w:rFonts w:ascii="Times New Roman" w:hAnsi="Times New Roman" w:cs="Times New Roman"/>
                <w:sz w:val="24"/>
                <w:szCs w:val="24"/>
              </w:rPr>
            </w:pPr>
            <w:r w:rsidRPr="00DD0E5F">
              <w:rPr>
                <w:rFonts w:ascii="Times New Roman" w:hAnsi="Times New Roman" w:cs="Times New Roman"/>
                <w:sz w:val="24"/>
                <w:szCs w:val="24"/>
              </w:rPr>
              <w:t>13)</w:t>
            </w:r>
            <w:r>
              <w:rPr>
                <w:rFonts w:ascii="Times New Roman" w:hAnsi="Times New Roman" w:cs="Times New Roman"/>
                <w:sz w:val="24"/>
                <w:szCs w:val="24"/>
              </w:rPr>
              <w:t xml:space="preserve"> </w:t>
            </w:r>
            <w:r w:rsidRPr="00DD0E5F">
              <w:rPr>
                <w:rFonts w:ascii="Times New Roman" w:hAnsi="Times New Roman" w:cs="Times New Roman"/>
                <w:sz w:val="24"/>
                <w:szCs w:val="24"/>
              </w:rPr>
              <w:t>Związek Przedsiębiorców i Pracodawców</w:t>
            </w:r>
          </w:p>
          <w:p w14:paraId="1F992E8C" w14:textId="77777777" w:rsidR="00AC55C0" w:rsidRPr="00DD0E5F" w:rsidRDefault="00AC55C0" w:rsidP="007A1A74">
            <w:pPr>
              <w:spacing w:after="120"/>
              <w:rPr>
                <w:rFonts w:ascii="Times New Roman" w:hAnsi="Times New Roman" w:cs="Times New Roman"/>
                <w:sz w:val="24"/>
                <w:szCs w:val="24"/>
              </w:rPr>
            </w:pPr>
            <w:r w:rsidRPr="00DD0E5F">
              <w:rPr>
                <w:rFonts w:ascii="Times New Roman" w:hAnsi="Times New Roman" w:cs="Times New Roman"/>
                <w:sz w:val="24"/>
                <w:szCs w:val="24"/>
              </w:rPr>
              <w:t>14)</w:t>
            </w:r>
            <w:r>
              <w:rPr>
                <w:rFonts w:ascii="Times New Roman" w:hAnsi="Times New Roman" w:cs="Times New Roman"/>
                <w:sz w:val="24"/>
                <w:szCs w:val="24"/>
              </w:rPr>
              <w:t xml:space="preserve"> </w:t>
            </w:r>
            <w:r w:rsidRPr="00DD0E5F">
              <w:rPr>
                <w:rFonts w:ascii="Times New Roman" w:hAnsi="Times New Roman" w:cs="Times New Roman"/>
                <w:sz w:val="24"/>
                <w:szCs w:val="24"/>
              </w:rPr>
              <w:t>Forum Związków Zawodowych</w:t>
            </w:r>
          </w:p>
          <w:p w14:paraId="2203408A" w14:textId="1B3EC9CA" w:rsidR="00303429" w:rsidRPr="008C7038" w:rsidRDefault="00893F7B" w:rsidP="00A04BF5">
            <w:pPr>
              <w:spacing w:after="160" w:line="259" w:lineRule="auto"/>
              <w:rPr>
                <w:rFonts w:ascii="Times New Roman" w:hAnsi="Times New Roman" w:cs="Times New Roman"/>
                <w:sz w:val="24"/>
                <w:szCs w:val="24"/>
              </w:rPr>
            </w:pPr>
            <w:r w:rsidRPr="008C7038">
              <w:rPr>
                <w:rFonts w:ascii="Times New Roman" w:hAnsi="Times New Roman" w:cs="Times New Roman"/>
                <w:sz w:val="24"/>
                <w:szCs w:val="24"/>
              </w:rPr>
              <w:t xml:space="preserve">Konsultacje będą trwały </w:t>
            </w:r>
            <w:r w:rsidR="00E76E86">
              <w:rPr>
                <w:rFonts w:ascii="Times New Roman" w:hAnsi="Times New Roman" w:cs="Times New Roman"/>
                <w:sz w:val="24"/>
                <w:szCs w:val="24"/>
              </w:rPr>
              <w:t>21</w:t>
            </w:r>
            <w:r w:rsidRPr="008C7038">
              <w:rPr>
                <w:rFonts w:ascii="Times New Roman" w:hAnsi="Times New Roman" w:cs="Times New Roman"/>
                <w:sz w:val="24"/>
                <w:szCs w:val="24"/>
              </w:rPr>
              <w:t xml:space="preserve"> dni</w:t>
            </w:r>
            <w:r w:rsidR="00ED5915" w:rsidRPr="008C7038">
              <w:rPr>
                <w:rFonts w:ascii="Times New Roman" w:hAnsi="Times New Roman" w:cs="Times New Roman"/>
                <w:sz w:val="24"/>
                <w:szCs w:val="24"/>
              </w:rPr>
              <w:t>,</w:t>
            </w:r>
            <w:r w:rsidRPr="008C7038">
              <w:rPr>
                <w:rFonts w:ascii="Times New Roman" w:hAnsi="Times New Roman" w:cs="Times New Roman"/>
                <w:sz w:val="24"/>
                <w:szCs w:val="24"/>
              </w:rPr>
              <w:t xml:space="preserve"> a ich wyniki zostaną omówione po ich zakończeniu.</w:t>
            </w:r>
            <w:r w:rsidR="00A16CF8" w:rsidRPr="008C7038">
              <w:rPr>
                <w:rFonts w:ascii="Times New Roman" w:hAnsi="Times New Roman" w:cs="Times New Roman"/>
                <w:sz w:val="24"/>
                <w:szCs w:val="24"/>
              </w:rPr>
              <w:t xml:space="preserve"> </w:t>
            </w:r>
          </w:p>
          <w:p w14:paraId="71CFA7C0" w14:textId="541DE495" w:rsidR="00303429" w:rsidRPr="008C7038" w:rsidRDefault="002E520C" w:rsidP="00A04BF5">
            <w:pPr>
              <w:spacing w:after="160" w:line="259" w:lineRule="auto"/>
              <w:rPr>
                <w:rFonts w:ascii="Times New Roman" w:hAnsi="Times New Roman" w:cs="Times New Roman"/>
                <w:sz w:val="24"/>
                <w:szCs w:val="24"/>
              </w:rPr>
            </w:pPr>
            <w:r w:rsidRPr="008C7038">
              <w:rPr>
                <w:rFonts w:ascii="Times New Roman" w:hAnsi="Times New Roman" w:cs="Times New Roman"/>
                <w:sz w:val="24"/>
                <w:szCs w:val="24"/>
              </w:rPr>
              <w:t xml:space="preserve">Zgodnie z art. 5 ustawy z dnia 7 lipca 2005 r. o działalności lobbingowej w procesie stanowienia prawa (Dz. U. poz. 1414, z późn. zm.) projekt zostanie udostępniony na stronie podmiotowej Biuletynu Informacji Publicznej </w:t>
            </w:r>
            <w:r w:rsidR="00BF1448" w:rsidRPr="008C7038">
              <w:rPr>
                <w:rFonts w:ascii="Times New Roman" w:hAnsi="Times New Roman" w:cs="Times New Roman"/>
                <w:sz w:val="24"/>
                <w:szCs w:val="24"/>
              </w:rPr>
              <w:t xml:space="preserve">Ministra Cyfryzacji </w:t>
            </w:r>
            <w:r w:rsidRPr="008C7038">
              <w:rPr>
                <w:rFonts w:ascii="Times New Roman" w:hAnsi="Times New Roman" w:cs="Times New Roman"/>
                <w:sz w:val="24"/>
                <w:szCs w:val="24"/>
              </w:rPr>
              <w:t>oraz w Biuletynie Informacji Publicznej na stronie podmiotowej Rządowego Centrum Legislacji, w serwi</w:t>
            </w:r>
            <w:r w:rsidR="004E5F2C" w:rsidRPr="008C7038">
              <w:rPr>
                <w:rFonts w:ascii="Times New Roman" w:hAnsi="Times New Roman" w:cs="Times New Roman"/>
                <w:sz w:val="24"/>
                <w:szCs w:val="24"/>
              </w:rPr>
              <w:t>sie Rządowy Proces Legislacyjny</w:t>
            </w:r>
            <w:r w:rsidR="009B4F94" w:rsidRPr="008C7038">
              <w:rPr>
                <w:rFonts w:ascii="Times New Roman" w:hAnsi="Times New Roman" w:cs="Times New Roman"/>
                <w:sz w:val="24"/>
                <w:szCs w:val="24"/>
              </w:rPr>
              <w:t>. Projekt z zaproszeniem do możliwości zgłaszania uwag zamieszczony zostanie również na stronie inter</w:t>
            </w:r>
            <w:r w:rsidR="00277F6C">
              <w:rPr>
                <w:rFonts w:ascii="Times New Roman" w:hAnsi="Times New Roman" w:cs="Times New Roman"/>
                <w:sz w:val="24"/>
                <w:szCs w:val="24"/>
              </w:rPr>
              <w:t>netowej Ministerstwa Cyfryzacji.</w:t>
            </w:r>
          </w:p>
          <w:p w14:paraId="466364BD" w14:textId="77777777" w:rsidR="00303429" w:rsidRPr="008C7038" w:rsidRDefault="004E5F2C" w:rsidP="00A04BF5">
            <w:pPr>
              <w:spacing w:after="160" w:line="259" w:lineRule="auto"/>
              <w:rPr>
                <w:rFonts w:ascii="Times New Roman" w:hAnsi="Times New Roman" w:cs="Times New Roman"/>
                <w:sz w:val="24"/>
                <w:szCs w:val="24"/>
              </w:rPr>
            </w:pPr>
            <w:r w:rsidRPr="008C7038">
              <w:rPr>
                <w:rFonts w:ascii="Times New Roman" w:hAnsi="Times New Roman" w:cs="Times New Roman"/>
                <w:sz w:val="24"/>
                <w:szCs w:val="24"/>
              </w:rPr>
              <w:t>P</w:t>
            </w:r>
            <w:r w:rsidR="009B4F94" w:rsidRPr="008C7038">
              <w:rPr>
                <w:rFonts w:ascii="Times New Roman" w:hAnsi="Times New Roman" w:cs="Times New Roman"/>
                <w:sz w:val="24"/>
                <w:szCs w:val="24"/>
              </w:rPr>
              <w:t xml:space="preserve">rojekt ustawy zostanie przekazany </w:t>
            </w:r>
            <w:r w:rsidRPr="008C7038">
              <w:rPr>
                <w:rFonts w:ascii="Times New Roman" w:hAnsi="Times New Roman" w:cs="Times New Roman"/>
                <w:sz w:val="24"/>
                <w:szCs w:val="24"/>
              </w:rPr>
              <w:t xml:space="preserve">do zaopiniowania </w:t>
            </w:r>
            <w:r w:rsidR="009B4F94" w:rsidRPr="008C7038">
              <w:rPr>
                <w:rFonts w:ascii="Times New Roman" w:hAnsi="Times New Roman" w:cs="Times New Roman"/>
                <w:sz w:val="24"/>
                <w:szCs w:val="24"/>
              </w:rPr>
              <w:t>Komisji Wspólnej Rządu i Samorządu Terytorialnego</w:t>
            </w:r>
            <w:r w:rsidRPr="008C7038">
              <w:rPr>
                <w:rFonts w:ascii="Times New Roman" w:hAnsi="Times New Roman" w:cs="Times New Roman"/>
                <w:sz w:val="24"/>
                <w:szCs w:val="24"/>
              </w:rPr>
              <w:t>.</w:t>
            </w:r>
            <w:r w:rsidR="009B4F94" w:rsidRPr="008C7038">
              <w:rPr>
                <w:rFonts w:ascii="Times New Roman" w:hAnsi="Times New Roman" w:cs="Times New Roman"/>
                <w:sz w:val="24"/>
                <w:szCs w:val="24"/>
              </w:rPr>
              <w:t xml:space="preserve"> </w:t>
            </w:r>
          </w:p>
        </w:tc>
      </w:tr>
      <w:tr w:rsidR="00A127B9" w:rsidRPr="008C7038" w14:paraId="55E1FF77" w14:textId="77777777" w:rsidTr="008C7038">
        <w:trPr>
          <w:gridAfter w:val="2"/>
          <w:wAfter w:w="124" w:type="dxa"/>
          <w:trHeight w:val="363"/>
        </w:trPr>
        <w:tc>
          <w:tcPr>
            <w:tcW w:w="10832" w:type="dxa"/>
            <w:gridSpan w:val="27"/>
            <w:shd w:val="clear" w:color="auto" w:fill="99CCFF"/>
            <w:vAlign w:val="center"/>
          </w:tcPr>
          <w:p w14:paraId="5782F446" w14:textId="77777777" w:rsidR="006A701A" w:rsidRPr="008C7038" w:rsidRDefault="006A701A" w:rsidP="001C66D4">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lastRenderedPageBreak/>
              <w:t xml:space="preserve"> Wpływ na sektor finansów publicznych</w:t>
            </w:r>
          </w:p>
        </w:tc>
      </w:tr>
      <w:tr w:rsidR="00A127B9" w:rsidRPr="008C7038" w14:paraId="0BA6F0EE" w14:textId="77777777" w:rsidTr="008C7038">
        <w:trPr>
          <w:gridAfter w:val="2"/>
          <w:wAfter w:w="124" w:type="dxa"/>
          <w:trHeight w:val="363"/>
        </w:trPr>
        <w:tc>
          <w:tcPr>
            <w:tcW w:w="10832" w:type="dxa"/>
            <w:gridSpan w:val="27"/>
            <w:shd w:val="clear" w:color="auto" w:fill="auto"/>
            <w:vAlign w:val="center"/>
          </w:tcPr>
          <w:p w14:paraId="5A12507F" w14:textId="77777777" w:rsidR="00416E2C" w:rsidRPr="008C7038" w:rsidRDefault="00416E2C" w:rsidP="001C66D4">
            <w:pPr>
              <w:spacing w:line="257" w:lineRule="auto"/>
              <w:rPr>
                <w:rFonts w:ascii="Times New Roman" w:hAnsi="Times New Roman" w:cs="Times New Roman"/>
                <w:sz w:val="24"/>
                <w:szCs w:val="24"/>
              </w:rPr>
            </w:pPr>
          </w:p>
        </w:tc>
      </w:tr>
      <w:tr w:rsidR="00260F33" w:rsidRPr="008C7038" w14:paraId="785CE2A4" w14:textId="77777777" w:rsidTr="008C7038">
        <w:trPr>
          <w:gridAfter w:val="2"/>
          <w:wAfter w:w="124" w:type="dxa"/>
          <w:trHeight w:val="142"/>
        </w:trPr>
        <w:tc>
          <w:tcPr>
            <w:tcW w:w="2127" w:type="dxa"/>
            <w:gridSpan w:val="3"/>
            <w:vMerge w:val="restart"/>
            <w:shd w:val="clear" w:color="auto" w:fill="FFFFFF"/>
          </w:tcPr>
          <w:p w14:paraId="1E75974E" w14:textId="77777777" w:rsidR="00260F33" w:rsidRPr="008C7038" w:rsidRDefault="00260F33" w:rsidP="001C66D4">
            <w:pPr>
              <w:spacing w:line="257" w:lineRule="auto"/>
              <w:rPr>
                <w:rFonts w:ascii="Times New Roman" w:hAnsi="Times New Roman" w:cs="Times New Roman"/>
                <w:i/>
                <w:sz w:val="24"/>
                <w:szCs w:val="24"/>
              </w:rPr>
            </w:pPr>
          </w:p>
        </w:tc>
        <w:tc>
          <w:tcPr>
            <w:tcW w:w="8705" w:type="dxa"/>
            <w:gridSpan w:val="24"/>
            <w:shd w:val="clear" w:color="auto" w:fill="FFFFFF"/>
          </w:tcPr>
          <w:p w14:paraId="203A51B2" w14:textId="77777777" w:rsidR="00260F33" w:rsidRPr="008C7038" w:rsidRDefault="00260F33" w:rsidP="001C66D4">
            <w:pPr>
              <w:spacing w:line="257" w:lineRule="auto"/>
              <w:rPr>
                <w:rFonts w:ascii="Times New Roman" w:hAnsi="Times New Roman" w:cs="Times New Roman"/>
                <w:i/>
                <w:spacing w:val="-2"/>
                <w:sz w:val="24"/>
                <w:szCs w:val="24"/>
              </w:rPr>
            </w:pPr>
            <w:r w:rsidRPr="008C7038">
              <w:rPr>
                <w:rFonts w:ascii="Times New Roman" w:hAnsi="Times New Roman" w:cs="Times New Roman"/>
                <w:sz w:val="24"/>
                <w:szCs w:val="24"/>
              </w:rPr>
              <w:t>Skutki w okresie 10 lat od wejścia w życie zmian [</w:t>
            </w:r>
            <w:r w:rsidR="00A056CB" w:rsidRPr="008C7038">
              <w:rPr>
                <w:rFonts w:ascii="Times New Roman" w:hAnsi="Times New Roman" w:cs="Times New Roman"/>
                <w:sz w:val="24"/>
                <w:szCs w:val="24"/>
              </w:rPr>
              <w:t xml:space="preserve">mln </w:t>
            </w:r>
            <w:r w:rsidRPr="008C7038">
              <w:rPr>
                <w:rFonts w:ascii="Times New Roman" w:hAnsi="Times New Roman" w:cs="Times New Roman"/>
                <w:sz w:val="24"/>
                <w:szCs w:val="24"/>
              </w:rPr>
              <w:t>zł]</w:t>
            </w:r>
          </w:p>
        </w:tc>
      </w:tr>
      <w:tr w:rsidR="00626AFA" w:rsidRPr="00052A6C" w14:paraId="49D9802C" w14:textId="77777777" w:rsidTr="008C7038">
        <w:trPr>
          <w:gridAfter w:val="2"/>
          <w:wAfter w:w="124" w:type="dxa"/>
          <w:trHeight w:val="142"/>
        </w:trPr>
        <w:tc>
          <w:tcPr>
            <w:tcW w:w="2127" w:type="dxa"/>
            <w:gridSpan w:val="3"/>
            <w:vMerge/>
            <w:shd w:val="clear" w:color="auto" w:fill="FFFFFF"/>
          </w:tcPr>
          <w:p w14:paraId="1E6FAAA3" w14:textId="77777777" w:rsidR="0057668E" w:rsidRPr="008C7038" w:rsidRDefault="0057668E" w:rsidP="001C66D4">
            <w:pPr>
              <w:spacing w:line="257" w:lineRule="auto"/>
              <w:rPr>
                <w:rFonts w:ascii="Times New Roman" w:hAnsi="Times New Roman" w:cs="Times New Roman"/>
                <w:i/>
                <w:sz w:val="24"/>
                <w:szCs w:val="24"/>
              </w:rPr>
            </w:pPr>
          </w:p>
        </w:tc>
        <w:tc>
          <w:tcPr>
            <w:tcW w:w="701" w:type="dxa"/>
            <w:shd w:val="clear" w:color="auto" w:fill="FFFFFF"/>
            <w:vAlign w:val="center"/>
          </w:tcPr>
          <w:p w14:paraId="3CF1E8D6"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0</w:t>
            </w:r>
          </w:p>
        </w:tc>
        <w:tc>
          <w:tcPr>
            <w:tcW w:w="702" w:type="dxa"/>
            <w:gridSpan w:val="2"/>
            <w:shd w:val="clear" w:color="auto" w:fill="FFFFFF"/>
            <w:vAlign w:val="center"/>
          </w:tcPr>
          <w:p w14:paraId="277E275F"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1</w:t>
            </w:r>
          </w:p>
        </w:tc>
        <w:tc>
          <w:tcPr>
            <w:tcW w:w="702" w:type="dxa"/>
            <w:gridSpan w:val="4"/>
            <w:shd w:val="clear" w:color="auto" w:fill="FFFFFF"/>
            <w:vAlign w:val="center"/>
          </w:tcPr>
          <w:p w14:paraId="2DB921E2"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2</w:t>
            </w:r>
          </w:p>
        </w:tc>
        <w:tc>
          <w:tcPr>
            <w:tcW w:w="701" w:type="dxa"/>
            <w:gridSpan w:val="2"/>
            <w:shd w:val="clear" w:color="auto" w:fill="FFFFFF"/>
            <w:vAlign w:val="center"/>
          </w:tcPr>
          <w:p w14:paraId="3255A1AF"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3</w:t>
            </w:r>
          </w:p>
        </w:tc>
        <w:tc>
          <w:tcPr>
            <w:tcW w:w="702" w:type="dxa"/>
            <w:gridSpan w:val="2"/>
            <w:shd w:val="clear" w:color="auto" w:fill="FFFFFF"/>
            <w:vAlign w:val="center"/>
          </w:tcPr>
          <w:p w14:paraId="1A289476"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4</w:t>
            </w:r>
          </w:p>
        </w:tc>
        <w:tc>
          <w:tcPr>
            <w:tcW w:w="702" w:type="dxa"/>
            <w:gridSpan w:val="2"/>
            <w:shd w:val="clear" w:color="auto" w:fill="FFFFFF"/>
            <w:vAlign w:val="center"/>
          </w:tcPr>
          <w:p w14:paraId="21D43D33"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5</w:t>
            </w:r>
          </w:p>
        </w:tc>
        <w:tc>
          <w:tcPr>
            <w:tcW w:w="702" w:type="dxa"/>
            <w:gridSpan w:val="2"/>
            <w:shd w:val="clear" w:color="auto" w:fill="FFFFFF"/>
            <w:vAlign w:val="center"/>
          </w:tcPr>
          <w:p w14:paraId="663C8832"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6</w:t>
            </w:r>
          </w:p>
        </w:tc>
        <w:tc>
          <w:tcPr>
            <w:tcW w:w="701" w:type="dxa"/>
            <w:gridSpan w:val="2"/>
            <w:shd w:val="clear" w:color="auto" w:fill="FFFFFF"/>
            <w:vAlign w:val="center"/>
          </w:tcPr>
          <w:p w14:paraId="3B41C89F"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7</w:t>
            </w:r>
          </w:p>
        </w:tc>
        <w:tc>
          <w:tcPr>
            <w:tcW w:w="702" w:type="dxa"/>
            <w:gridSpan w:val="2"/>
            <w:shd w:val="clear" w:color="auto" w:fill="FFFFFF"/>
            <w:vAlign w:val="center"/>
          </w:tcPr>
          <w:p w14:paraId="65BA4929"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8</w:t>
            </w:r>
          </w:p>
        </w:tc>
        <w:tc>
          <w:tcPr>
            <w:tcW w:w="702" w:type="dxa"/>
            <w:gridSpan w:val="2"/>
            <w:shd w:val="clear" w:color="auto" w:fill="FFFFFF"/>
            <w:vAlign w:val="center"/>
          </w:tcPr>
          <w:p w14:paraId="36959C16"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9</w:t>
            </w:r>
          </w:p>
        </w:tc>
        <w:tc>
          <w:tcPr>
            <w:tcW w:w="702" w:type="dxa"/>
            <w:gridSpan w:val="2"/>
            <w:shd w:val="clear" w:color="auto" w:fill="FFFFFF"/>
            <w:vAlign w:val="center"/>
          </w:tcPr>
          <w:p w14:paraId="2491CAF1" w14:textId="77777777" w:rsidR="0057668E" w:rsidRPr="00052A6C" w:rsidRDefault="0057668E" w:rsidP="00626AFA">
            <w:pPr>
              <w:spacing w:line="257" w:lineRule="auto"/>
              <w:jc w:val="right"/>
              <w:rPr>
                <w:rFonts w:ascii="Times New Roman" w:hAnsi="Times New Roman" w:cs="Times New Roman"/>
                <w:b/>
                <w:sz w:val="24"/>
                <w:szCs w:val="24"/>
              </w:rPr>
            </w:pPr>
            <w:r w:rsidRPr="00052A6C">
              <w:rPr>
                <w:rFonts w:ascii="Times New Roman" w:hAnsi="Times New Roman" w:cs="Times New Roman"/>
                <w:b/>
                <w:sz w:val="24"/>
                <w:szCs w:val="24"/>
              </w:rPr>
              <w:t>10</w:t>
            </w:r>
          </w:p>
        </w:tc>
        <w:tc>
          <w:tcPr>
            <w:tcW w:w="986" w:type="dxa"/>
            <w:shd w:val="clear" w:color="auto" w:fill="FFFFFF"/>
          </w:tcPr>
          <w:p w14:paraId="082335F4" w14:textId="77777777" w:rsidR="0057668E" w:rsidRPr="00052A6C" w:rsidRDefault="0057668E" w:rsidP="001C66D4">
            <w:pPr>
              <w:spacing w:line="257" w:lineRule="auto"/>
              <w:rPr>
                <w:rFonts w:ascii="Times New Roman" w:hAnsi="Times New Roman" w:cs="Times New Roman"/>
                <w:i/>
                <w:spacing w:val="-2"/>
                <w:sz w:val="24"/>
                <w:szCs w:val="24"/>
              </w:rPr>
            </w:pPr>
            <w:r w:rsidRPr="00052A6C">
              <w:rPr>
                <w:rFonts w:ascii="Times New Roman" w:hAnsi="Times New Roman" w:cs="Times New Roman"/>
                <w:i/>
                <w:spacing w:val="-2"/>
                <w:sz w:val="24"/>
                <w:szCs w:val="24"/>
              </w:rPr>
              <w:t>Łącznie</w:t>
            </w:r>
            <w:r w:rsidR="00CF5F4F" w:rsidRPr="00052A6C">
              <w:rPr>
                <w:rFonts w:ascii="Times New Roman" w:hAnsi="Times New Roman" w:cs="Times New Roman"/>
                <w:i/>
                <w:spacing w:val="-2"/>
                <w:sz w:val="24"/>
                <w:szCs w:val="24"/>
              </w:rPr>
              <w:t xml:space="preserve"> (0-10)</w:t>
            </w:r>
          </w:p>
        </w:tc>
      </w:tr>
      <w:tr w:rsidR="00626AFA" w:rsidRPr="008C7038" w14:paraId="1693F45D" w14:textId="77777777" w:rsidTr="008C7038">
        <w:trPr>
          <w:gridAfter w:val="1"/>
          <w:wAfter w:w="114" w:type="dxa"/>
          <w:trHeight w:val="321"/>
        </w:trPr>
        <w:tc>
          <w:tcPr>
            <w:tcW w:w="2127" w:type="dxa"/>
            <w:gridSpan w:val="3"/>
            <w:shd w:val="clear" w:color="auto" w:fill="FFFFFF"/>
            <w:vAlign w:val="center"/>
          </w:tcPr>
          <w:p w14:paraId="3816EA1B" w14:textId="77777777" w:rsidR="0057668E" w:rsidRPr="008C7038" w:rsidRDefault="0057668E" w:rsidP="001C66D4">
            <w:pPr>
              <w:spacing w:line="257" w:lineRule="auto"/>
              <w:rPr>
                <w:rFonts w:ascii="Times New Roman" w:hAnsi="Times New Roman" w:cs="Times New Roman"/>
                <w:sz w:val="24"/>
                <w:szCs w:val="24"/>
              </w:rPr>
            </w:pPr>
            <w:r w:rsidRPr="008C7038">
              <w:rPr>
                <w:rFonts w:ascii="Times New Roman" w:hAnsi="Times New Roman" w:cs="Times New Roman"/>
                <w:b/>
                <w:sz w:val="24"/>
                <w:szCs w:val="24"/>
              </w:rPr>
              <w:t>Dochody ogółem</w:t>
            </w:r>
          </w:p>
        </w:tc>
        <w:tc>
          <w:tcPr>
            <w:tcW w:w="701" w:type="dxa"/>
            <w:shd w:val="clear" w:color="auto" w:fill="FFFFFF"/>
            <w:vAlign w:val="center"/>
          </w:tcPr>
          <w:p w14:paraId="621FEAA5"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7D7997CD"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4"/>
            <w:shd w:val="clear" w:color="auto" w:fill="FFFFFF"/>
            <w:vAlign w:val="center"/>
          </w:tcPr>
          <w:p w14:paraId="3CC187D6" w14:textId="77777777" w:rsidR="0057668E" w:rsidRPr="00052A6C" w:rsidRDefault="0057668E" w:rsidP="00626AFA">
            <w:pPr>
              <w:spacing w:line="257" w:lineRule="auto"/>
              <w:jc w:val="right"/>
              <w:rPr>
                <w:rFonts w:ascii="Times New Roman" w:hAnsi="Times New Roman" w:cs="Times New Roman"/>
                <w:sz w:val="24"/>
                <w:szCs w:val="24"/>
              </w:rPr>
            </w:pPr>
          </w:p>
        </w:tc>
        <w:tc>
          <w:tcPr>
            <w:tcW w:w="701" w:type="dxa"/>
            <w:gridSpan w:val="2"/>
            <w:shd w:val="clear" w:color="auto" w:fill="FFFFFF"/>
            <w:vAlign w:val="center"/>
          </w:tcPr>
          <w:p w14:paraId="6784FA07"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7378BDD9"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7A182FD4"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0CEFDDEA" w14:textId="77777777" w:rsidR="0057668E" w:rsidRPr="00052A6C" w:rsidRDefault="0057668E" w:rsidP="00626AFA">
            <w:pPr>
              <w:spacing w:line="257" w:lineRule="auto"/>
              <w:jc w:val="right"/>
              <w:rPr>
                <w:rFonts w:ascii="Times New Roman" w:hAnsi="Times New Roman" w:cs="Times New Roman"/>
                <w:sz w:val="24"/>
                <w:szCs w:val="24"/>
              </w:rPr>
            </w:pPr>
          </w:p>
        </w:tc>
        <w:tc>
          <w:tcPr>
            <w:tcW w:w="701" w:type="dxa"/>
            <w:gridSpan w:val="2"/>
            <w:shd w:val="clear" w:color="auto" w:fill="FFFFFF"/>
            <w:vAlign w:val="center"/>
          </w:tcPr>
          <w:p w14:paraId="69212442"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3778F868"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36DE6DFF" w14:textId="77777777" w:rsidR="0057668E" w:rsidRPr="00052A6C" w:rsidRDefault="0057668E" w:rsidP="00626AFA">
            <w:pPr>
              <w:spacing w:line="257" w:lineRule="auto"/>
              <w:jc w:val="right"/>
              <w:rPr>
                <w:rFonts w:ascii="Times New Roman" w:hAnsi="Times New Roman" w:cs="Times New Roman"/>
                <w:sz w:val="24"/>
                <w:szCs w:val="24"/>
              </w:rPr>
            </w:pPr>
          </w:p>
        </w:tc>
        <w:tc>
          <w:tcPr>
            <w:tcW w:w="702" w:type="dxa"/>
            <w:gridSpan w:val="2"/>
            <w:shd w:val="clear" w:color="auto" w:fill="FFFFFF"/>
            <w:vAlign w:val="center"/>
          </w:tcPr>
          <w:p w14:paraId="0E2E9CAB" w14:textId="77777777" w:rsidR="0057668E" w:rsidRPr="00052A6C" w:rsidRDefault="0057668E" w:rsidP="00626AFA">
            <w:pPr>
              <w:spacing w:line="257" w:lineRule="auto"/>
              <w:jc w:val="right"/>
              <w:rPr>
                <w:rFonts w:ascii="Times New Roman" w:hAnsi="Times New Roman" w:cs="Times New Roman"/>
                <w:sz w:val="24"/>
                <w:szCs w:val="24"/>
              </w:rPr>
            </w:pPr>
          </w:p>
        </w:tc>
        <w:tc>
          <w:tcPr>
            <w:tcW w:w="996" w:type="dxa"/>
            <w:gridSpan w:val="2"/>
            <w:shd w:val="clear" w:color="auto" w:fill="FFFFFF"/>
          </w:tcPr>
          <w:p w14:paraId="2D3CF51C" w14:textId="77777777" w:rsidR="0057668E" w:rsidRPr="00052A6C" w:rsidRDefault="0057668E" w:rsidP="001C66D4">
            <w:pPr>
              <w:spacing w:line="257" w:lineRule="auto"/>
              <w:rPr>
                <w:rFonts w:ascii="Times New Roman" w:hAnsi="Times New Roman" w:cs="Times New Roman"/>
                <w:spacing w:val="-2"/>
                <w:sz w:val="24"/>
                <w:szCs w:val="24"/>
              </w:rPr>
            </w:pPr>
          </w:p>
        </w:tc>
      </w:tr>
      <w:tr w:rsidR="00626AFA" w:rsidRPr="008C7038" w14:paraId="0959090E" w14:textId="77777777" w:rsidTr="008C7038">
        <w:trPr>
          <w:gridAfter w:val="1"/>
          <w:wAfter w:w="114" w:type="dxa"/>
          <w:trHeight w:val="321"/>
        </w:trPr>
        <w:tc>
          <w:tcPr>
            <w:tcW w:w="2127" w:type="dxa"/>
            <w:gridSpan w:val="3"/>
            <w:shd w:val="clear" w:color="auto" w:fill="FFFFFF"/>
            <w:vAlign w:val="center"/>
          </w:tcPr>
          <w:p w14:paraId="4512484F" w14:textId="77777777" w:rsidR="00D15640" w:rsidRPr="008C7038" w:rsidRDefault="00D15640" w:rsidP="001C66D4">
            <w:pPr>
              <w:spacing w:line="257" w:lineRule="auto"/>
              <w:rPr>
                <w:rFonts w:ascii="Times New Roman" w:hAnsi="Times New Roman" w:cs="Times New Roman"/>
                <w:sz w:val="24"/>
                <w:szCs w:val="24"/>
              </w:rPr>
            </w:pPr>
            <w:r w:rsidRPr="008C7038">
              <w:rPr>
                <w:rFonts w:ascii="Times New Roman" w:hAnsi="Times New Roman" w:cs="Times New Roman"/>
                <w:sz w:val="24"/>
                <w:szCs w:val="24"/>
              </w:rPr>
              <w:t>budżet państwa</w:t>
            </w:r>
          </w:p>
        </w:tc>
        <w:tc>
          <w:tcPr>
            <w:tcW w:w="701" w:type="dxa"/>
            <w:shd w:val="clear" w:color="auto" w:fill="FFFFFF"/>
            <w:vAlign w:val="center"/>
          </w:tcPr>
          <w:p w14:paraId="696CE533"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1A1C1F4"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4"/>
            <w:shd w:val="clear" w:color="auto" w:fill="FFFFFF"/>
            <w:vAlign w:val="center"/>
          </w:tcPr>
          <w:p w14:paraId="059A5AC0"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1" w:type="dxa"/>
            <w:gridSpan w:val="2"/>
            <w:shd w:val="clear" w:color="auto" w:fill="FFFFFF"/>
            <w:vAlign w:val="center"/>
          </w:tcPr>
          <w:p w14:paraId="0D983891"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23BECAB9"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6973EFF3"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1FC927D4"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1" w:type="dxa"/>
            <w:gridSpan w:val="2"/>
            <w:shd w:val="clear" w:color="auto" w:fill="FFFFFF"/>
            <w:vAlign w:val="center"/>
          </w:tcPr>
          <w:p w14:paraId="0309AEBC"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2581170C"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645DFC67"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702" w:type="dxa"/>
            <w:gridSpan w:val="2"/>
            <w:shd w:val="clear" w:color="auto" w:fill="FFFFFF"/>
            <w:vAlign w:val="center"/>
          </w:tcPr>
          <w:p w14:paraId="04A8F27C" w14:textId="77777777" w:rsidR="00D15640"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bCs/>
                <w:sz w:val="24"/>
                <w:szCs w:val="24"/>
              </w:rPr>
              <w:t>0</w:t>
            </w:r>
          </w:p>
        </w:tc>
        <w:tc>
          <w:tcPr>
            <w:tcW w:w="996" w:type="dxa"/>
            <w:gridSpan w:val="2"/>
            <w:shd w:val="clear" w:color="auto" w:fill="FFFFFF"/>
          </w:tcPr>
          <w:p w14:paraId="606B2436" w14:textId="77777777" w:rsidR="00D15640" w:rsidRPr="00052A6C" w:rsidRDefault="00D15640" w:rsidP="001C66D4">
            <w:pPr>
              <w:spacing w:line="257" w:lineRule="auto"/>
              <w:rPr>
                <w:rFonts w:ascii="Times New Roman" w:hAnsi="Times New Roman" w:cs="Times New Roman"/>
                <w:spacing w:val="-2"/>
                <w:sz w:val="24"/>
                <w:szCs w:val="24"/>
              </w:rPr>
            </w:pPr>
            <w:r w:rsidRPr="00052A6C">
              <w:rPr>
                <w:rFonts w:ascii="Times New Roman" w:hAnsi="Times New Roman" w:cs="Times New Roman"/>
                <w:spacing w:val="-2"/>
                <w:sz w:val="24"/>
                <w:szCs w:val="24"/>
              </w:rPr>
              <w:t>0</w:t>
            </w:r>
          </w:p>
        </w:tc>
      </w:tr>
      <w:tr w:rsidR="00626AFA" w:rsidRPr="008C7038" w14:paraId="5CE5E691" w14:textId="77777777" w:rsidTr="008C7038">
        <w:trPr>
          <w:gridAfter w:val="1"/>
          <w:wAfter w:w="114" w:type="dxa"/>
          <w:trHeight w:val="344"/>
        </w:trPr>
        <w:tc>
          <w:tcPr>
            <w:tcW w:w="2127" w:type="dxa"/>
            <w:gridSpan w:val="3"/>
            <w:shd w:val="clear" w:color="auto" w:fill="FFFFFF"/>
            <w:vAlign w:val="center"/>
          </w:tcPr>
          <w:p w14:paraId="37BD24F8" w14:textId="77777777" w:rsidR="0057668E" w:rsidRPr="008C7038" w:rsidRDefault="0057668E" w:rsidP="001C66D4">
            <w:pPr>
              <w:spacing w:line="257" w:lineRule="auto"/>
              <w:rPr>
                <w:rFonts w:ascii="Times New Roman" w:hAnsi="Times New Roman" w:cs="Times New Roman"/>
                <w:sz w:val="24"/>
                <w:szCs w:val="24"/>
              </w:rPr>
            </w:pPr>
            <w:r w:rsidRPr="008C7038">
              <w:rPr>
                <w:rFonts w:ascii="Times New Roman" w:hAnsi="Times New Roman" w:cs="Times New Roman"/>
                <w:sz w:val="24"/>
                <w:szCs w:val="24"/>
              </w:rPr>
              <w:t>JST</w:t>
            </w:r>
          </w:p>
        </w:tc>
        <w:tc>
          <w:tcPr>
            <w:tcW w:w="701" w:type="dxa"/>
            <w:shd w:val="clear" w:color="auto" w:fill="FFFFFF"/>
            <w:vAlign w:val="center"/>
          </w:tcPr>
          <w:p w14:paraId="6E40117D"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AEBC89F"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327C37E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627A79D4"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0FA0A817"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15D2751"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0DBA014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33D0CDA0"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C6D471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74E3B7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F4D1256"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5AC5449B" w14:textId="77777777" w:rsidR="0057668E" w:rsidRPr="00052A6C" w:rsidRDefault="00D15640" w:rsidP="001C66D4">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626AFA" w:rsidRPr="008C7038" w14:paraId="5D79644C" w14:textId="77777777" w:rsidTr="008C7038">
        <w:trPr>
          <w:gridAfter w:val="1"/>
          <w:wAfter w:w="114" w:type="dxa"/>
          <w:trHeight w:val="344"/>
        </w:trPr>
        <w:tc>
          <w:tcPr>
            <w:tcW w:w="2127" w:type="dxa"/>
            <w:gridSpan w:val="3"/>
            <w:shd w:val="clear" w:color="auto" w:fill="FFFFFF"/>
            <w:vAlign w:val="center"/>
          </w:tcPr>
          <w:p w14:paraId="7ACB36F8" w14:textId="77777777" w:rsidR="0057668E" w:rsidRPr="008C7038" w:rsidRDefault="0057668E" w:rsidP="001C66D4">
            <w:pPr>
              <w:spacing w:line="257" w:lineRule="auto"/>
              <w:rPr>
                <w:rFonts w:ascii="Times New Roman" w:hAnsi="Times New Roman" w:cs="Times New Roman"/>
                <w:sz w:val="24"/>
                <w:szCs w:val="24"/>
              </w:rPr>
            </w:pPr>
            <w:r w:rsidRPr="008C7038">
              <w:rPr>
                <w:rFonts w:ascii="Times New Roman" w:hAnsi="Times New Roman" w:cs="Times New Roman"/>
                <w:sz w:val="24"/>
                <w:szCs w:val="24"/>
              </w:rPr>
              <w:t>pozostałe jednostki (oddzielnie)</w:t>
            </w:r>
          </w:p>
        </w:tc>
        <w:tc>
          <w:tcPr>
            <w:tcW w:w="701" w:type="dxa"/>
            <w:shd w:val="clear" w:color="auto" w:fill="FFFFFF"/>
            <w:vAlign w:val="center"/>
          </w:tcPr>
          <w:p w14:paraId="6108B051"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56106B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164C6F68"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D5AAE18"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D582DE"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C0A68AD"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65E6939"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7EF78845"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933B3BA"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F82DFBB"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CDD7D5" w14:textId="77777777" w:rsidR="0057668E" w:rsidRPr="00052A6C" w:rsidRDefault="00D15640"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75DDEA7B" w14:textId="77777777" w:rsidR="0057668E" w:rsidRPr="00052A6C" w:rsidRDefault="00D15640" w:rsidP="001C66D4">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0970B7" w:rsidRPr="008C7038" w14:paraId="2EF9EAF1" w14:textId="77777777" w:rsidTr="008C7038">
        <w:trPr>
          <w:gridAfter w:val="1"/>
          <w:wAfter w:w="114" w:type="dxa"/>
          <w:trHeight w:val="330"/>
        </w:trPr>
        <w:tc>
          <w:tcPr>
            <w:tcW w:w="2127" w:type="dxa"/>
            <w:gridSpan w:val="3"/>
            <w:shd w:val="clear" w:color="auto" w:fill="FFFFFF"/>
            <w:vAlign w:val="center"/>
          </w:tcPr>
          <w:p w14:paraId="15099BF1"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b/>
                <w:sz w:val="24"/>
                <w:szCs w:val="24"/>
              </w:rPr>
              <w:t>Wydatki ogółem</w:t>
            </w:r>
          </w:p>
        </w:tc>
        <w:tc>
          <w:tcPr>
            <w:tcW w:w="701" w:type="dxa"/>
            <w:shd w:val="clear" w:color="auto" w:fill="FFFFFF"/>
            <w:vAlign w:val="center"/>
          </w:tcPr>
          <w:p w14:paraId="2CB02858"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7D088FDB"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4C83C73C"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767F1A3E"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051EA760"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0407C241"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38B3E9D1"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691DC539"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362414CB"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213E779B"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747F3033"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4E690BE3" w14:textId="77777777" w:rsidR="000970B7" w:rsidRPr="00052A6C" w:rsidRDefault="000970B7" w:rsidP="00E0083A">
            <w:pPr>
              <w:spacing w:line="257" w:lineRule="auto"/>
              <w:jc w:val="center"/>
              <w:rPr>
                <w:rFonts w:ascii="Times New Roman" w:hAnsi="Times New Roman" w:cs="Times New Roman"/>
                <w:sz w:val="24"/>
                <w:szCs w:val="24"/>
              </w:rPr>
            </w:pPr>
            <w:r w:rsidRPr="00052A6C">
              <w:rPr>
                <w:rFonts w:ascii="Times New Roman" w:hAnsi="Times New Roman" w:cs="Times New Roman"/>
                <w:sz w:val="24"/>
                <w:szCs w:val="24"/>
              </w:rPr>
              <w:t xml:space="preserve">130,66    </w:t>
            </w:r>
          </w:p>
        </w:tc>
      </w:tr>
      <w:tr w:rsidR="000970B7" w:rsidRPr="008C7038" w14:paraId="1AA98CB4" w14:textId="77777777" w:rsidTr="008C7038">
        <w:trPr>
          <w:gridAfter w:val="1"/>
          <w:wAfter w:w="114" w:type="dxa"/>
          <w:trHeight w:val="330"/>
        </w:trPr>
        <w:tc>
          <w:tcPr>
            <w:tcW w:w="2127" w:type="dxa"/>
            <w:gridSpan w:val="3"/>
            <w:shd w:val="clear" w:color="auto" w:fill="FFFFFF"/>
            <w:vAlign w:val="center"/>
          </w:tcPr>
          <w:p w14:paraId="44B6F378"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sz w:val="24"/>
                <w:szCs w:val="24"/>
              </w:rPr>
              <w:t>budżet państwa</w:t>
            </w:r>
          </w:p>
        </w:tc>
        <w:tc>
          <w:tcPr>
            <w:tcW w:w="701" w:type="dxa"/>
            <w:shd w:val="clear" w:color="auto" w:fill="FFFFFF"/>
            <w:vAlign w:val="center"/>
          </w:tcPr>
          <w:p w14:paraId="39A72D38"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5D7E830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59757A89"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0AEAAF3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684FA0F9"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51DF56C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001221B0"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52A31249"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550160F2"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30F1170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2C0C5B34"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7113AB8F" w14:textId="77777777" w:rsidR="000970B7" w:rsidRPr="00052A6C" w:rsidRDefault="000970B7" w:rsidP="000970B7">
            <w:pPr>
              <w:spacing w:line="257" w:lineRule="auto"/>
              <w:rPr>
                <w:rFonts w:ascii="Times New Roman" w:hAnsi="Times New Roman" w:cs="Times New Roman"/>
                <w:spacing w:val="-2"/>
                <w:sz w:val="24"/>
                <w:szCs w:val="24"/>
              </w:rPr>
            </w:pPr>
            <w:r w:rsidRPr="00052A6C">
              <w:rPr>
                <w:rFonts w:ascii="Times New Roman" w:hAnsi="Times New Roman" w:cs="Times New Roman"/>
                <w:sz w:val="24"/>
                <w:szCs w:val="24"/>
              </w:rPr>
              <w:t xml:space="preserve">130,66    </w:t>
            </w:r>
          </w:p>
        </w:tc>
      </w:tr>
      <w:tr w:rsidR="00626AFA" w:rsidRPr="008C7038" w14:paraId="51A192D7" w14:textId="77777777" w:rsidTr="008C7038">
        <w:trPr>
          <w:gridAfter w:val="1"/>
          <w:wAfter w:w="114" w:type="dxa"/>
          <w:trHeight w:val="351"/>
        </w:trPr>
        <w:tc>
          <w:tcPr>
            <w:tcW w:w="2127" w:type="dxa"/>
            <w:gridSpan w:val="3"/>
            <w:shd w:val="clear" w:color="auto" w:fill="FFFFFF"/>
            <w:vAlign w:val="center"/>
          </w:tcPr>
          <w:p w14:paraId="7587A3B0"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JST</w:t>
            </w:r>
          </w:p>
        </w:tc>
        <w:tc>
          <w:tcPr>
            <w:tcW w:w="701" w:type="dxa"/>
            <w:shd w:val="clear" w:color="auto" w:fill="FFFFFF"/>
            <w:vAlign w:val="center"/>
          </w:tcPr>
          <w:p w14:paraId="6F9F900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764FE0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5872809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3BBC6BE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684ACED"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EACD6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CD7937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540C6A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1118B4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919B6E8"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A8AA30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239CCE43"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626AFA" w:rsidRPr="008C7038" w14:paraId="7655BD29" w14:textId="77777777" w:rsidTr="008C7038">
        <w:trPr>
          <w:gridAfter w:val="1"/>
          <w:wAfter w:w="114" w:type="dxa"/>
          <w:trHeight w:val="351"/>
        </w:trPr>
        <w:tc>
          <w:tcPr>
            <w:tcW w:w="2127" w:type="dxa"/>
            <w:gridSpan w:val="3"/>
            <w:shd w:val="clear" w:color="auto" w:fill="FFFFFF"/>
            <w:vAlign w:val="center"/>
          </w:tcPr>
          <w:p w14:paraId="3E8B2C47"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pozostałe jednostki (oddzielnie)</w:t>
            </w:r>
          </w:p>
        </w:tc>
        <w:tc>
          <w:tcPr>
            <w:tcW w:w="701" w:type="dxa"/>
            <w:shd w:val="clear" w:color="auto" w:fill="FFFFFF"/>
            <w:vAlign w:val="center"/>
          </w:tcPr>
          <w:p w14:paraId="7C2E886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033540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6C2C239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745EC39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281EFAF"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DD51491"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282F29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24A164B2"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EA0D26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5AB4E680"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8FBACF7"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1A277239"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0970B7" w:rsidRPr="008C7038" w14:paraId="7752650F" w14:textId="77777777" w:rsidTr="008C7038">
        <w:trPr>
          <w:gridAfter w:val="1"/>
          <w:wAfter w:w="114" w:type="dxa"/>
          <w:trHeight w:val="360"/>
        </w:trPr>
        <w:tc>
          <w:tcPr>
            <w:tcW w:w="2127" w:type="dxa"/>
            <w:gridSpan w:val="3"/>
            <w:shd w:val="clear" w:color="auto" w:fill="FFFFFF"/>
            <w:vAlign w:val="center"/>
          </w:tcPr>
          <w:p w14:paraId="5246C089"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b/>
                <w:sz w:val="24"/>
                <w:szCs w:val="24"/>
              </w:rPr>
              <w:t>Saldo ogółem</w:t>
            </w:r>
          </w:p>
        </w:tc>
        <w:tc>
          <w:tcPr>
            <w:tcW w:w="701" w:type="dxa"/>
            <w:shd w:val="clear" w:color="auto" w:fill="FFFFFF"/>
            <w:vAlign w:val="center"/>
          </w:tcPr>
          <w:p w14:paraId="7F551E4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7F78B508"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54C5E95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4794BA8B"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2FC5327A"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3B2E2CD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757B089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0C06B7C6"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78C4CBB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30C832CD"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0B51BE1D"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59F717A1" w14:textId="77777777" w:rsidR="000970B7" w:rsidRPr="00052A6C" w:rsidRDefault="000970B7" w:rsidP="000970B7">
            <w:pPr>
              <w:spacing w:line="257" w:lineRule="auto"/>
              <w:rPr>
                <w:rFonts w:ascii="Times New Roman" w:hAnsi="Times New Roman" w:cs="Times New Roman"/>
                <w:sz w:val="24"/>
                <w:szCs w:val="24"/>
              </w:rPr>
            </w:pPr>
            <w:r w:rsidRPr="00052A6C">
              <w:rPr>
                <w:rFonts w:ascii="Times New Roman" w:hAnsi="Times New Roman" w:cs="Times New Roman"/>
                <w:sz w:val="24"/>
                <w:szCs w:val="24"/>
              </w:rPr>
              <w:t xml:space="preserve">-130,66    </w:t>
            </w:r>
          </w:p>
        </w:tc>
      </w:tr>
      <w:tr w:rsidR="000970B7" w:rsidRPr="008C7038" w14:paraId="1C016063" w14:textId="77777777" w:rsidTr="008C7038">
        <w:trPr>
          <w:gridAfter w:val="1"/>
          <w:wAfter w:w="114" w:type="dxa"/>
          <w:trHeight w:val="360"/>
        </w:trPr>
        <w:tc>
          <w:tcPr>
            <w:tcW w:w="2127" w:type="dxa"/>
            <w:gridSpan w:val="3"/>
            <w:shd w:val="clear" w:color="auto" w:fill="FFFFFF"/>
            <w:vAlign w:val="center"/>
          </w:tcPr>
          <w:p w14:paraId="2EFBEE08" w14:textId="77777777" w:rsidR="000970B7" w:rsidRPr="008C7038" w:rsidRDefault="000970B7" w:rsidP="000970B7">
            <w:pPr>
              <w:spacing w:line="257" w:lineRule="auto"/>
              <w:rPr>
                <w:rFonts w:ascii="Times New Roman" w:hAnsi="Times New Roman" w:cs="Times New Roman"/>
                <w:sz w:val="24"/>
                <w:szCs w:val="24"/>
              </w:rPr>
            </w:pPr>
            <w:r w:rsidRPr="008C7038">
              <w:rPr>
                <w:rFonts w:ascii="Times New Roman" w:hAnsi="Times New Roman" w:cs="Times New Roman"/>
                <w:sz w:val="24"/>
                <w:szCs w:val="24"/>
              </w:rPr>
              <w:t>budżet państwa</w:t>
            </w:r>
          </w:p>
        </w:tc>
        <w:tc>
          <w:tcPr>
            <w:tcW w:w="701" w:type="dxa"/>
            <w:shd w:val="clear" w:color="auto" w:fill="FFFFFF"/>
            <w:vAlign w:val="center"/>
          </w:tcPr>
          <w:p w14:paraId="11E76CDF"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-2,92    </w:t>
            </w:r>
          </w:p>
        </w:tc>
        <w:tc>
          <w:tcPr>
            <w:tcW w:w="702" w:type="dxa"/>
            <w:gridSpan w:val="2"/>
            <w:shd w:val="clear" w:color="auto" w:fill="FFFFFF"/>
            <w:vAlign w:val="center"/>
          </w:tcPr>
          <w:p w14:paraId="764850D2"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-7,22    </w:t>
            </w:r>
          </w:p>
        </w:tc>
        <w:tc>
          <w:tcPr>
            <w:tcW w:w="702" w:type="dxa"/>
            <w:gridSpan w:val="4"/>
            <w:shd w:val="clear" w:color="auto" w:fill="FFFFFF"/>
            <w:vAlign w:val="center"/>
          </w:tcPr>
          <w:p w14:paraId="4F516FC4"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-3,89    </w:t>
            </w:r>
          </w:p>
        </w:tc>
        <w:tc>
          <w:tcPr>
            <w:tcW w:w="701" w:type="dxa"/>
            <w:gridSpan w:val="2"/>
            <w:shd w:val="clear" w:color="auto" w:fill="FFFFFF"/>
            <w:vAlign w:val="center"/>
          </w:tcPr>
          <w:p w14:paraId="02398634"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-14,68    </w:t>
            </w:r>
          </w:p>
        </w:tc>
        <w:tc>
          <w:tcPr>
            <w:tcW w:w="702" w:type="dxa"/>
            <w:gridSpan w:val="2"/>
            <w:shd w:val="clear" w:color="auto" w:fill="FFFFFF"/>
            <w:vAlign w:val="center"/>
          </w:tcPr>
          <w:p w14:paraId="73DE1DC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-15,43    </w:t>
            </w:r>
          </w:p>
        </w:tc>
        <w:tc>
          <w:tcPr>
            <w:tcW w:w="702" w:type="dxa"/>
            <w:gridSpan w:val="2"/>
            <w:shd w:val="clear" w:color="auto" w:fill="FFFFFF"/>
            <w:vAlign w:val="center"/>
          </w:tcPr>
          <w:p w14:paraId="2B285D0B"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-14,75    </w:t>
            </w:r>
          </w:p>
        </w:tc>
        <w:tc>
          <w:tcPr>
            <w:tcW w:w="702" w:type="dxa"/>
            <w:gridSpan w:val="2"/>
            <w:shd w:val="clear" w:color="auto" w:fill="FFFFFF"/>
            <w:vAlign w:val="center"/>
          </w:tcPr>
          <w:p w14:paraId="46863701"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-14,07    </w:t>
            </w:r>
          </w:p>
        </w:tc>
        <w:tc>
          <w:tcPr>
            <w:tcW w:w="701" w:type="dxa"/>
            <w:gridSpan w:val="2"/>
            <w:shd w:val="clear" w:color="auto" w:fill="FFFFFF"/>
            <w:vAlign w:val="center"/>
          </w:tcPr>
          <w:p w14:paraId="25F8EA32"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-14,21    </w:t>
            </w:r>
          </w:p>
        </w:tc>
        <w:tc>
          <w:tcPr>
            <w:tcW w:w="702" w:type="dxa"/>
            <w:gridSpan w:val="2"/>
            <w:shd w:val="clear" w:color="auto" w:fill="FFFFFF"/>
            <w:vAlign w:val="center"/>
          </w:tcPr>
          <w:p w14:paraId="593D48EB"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-14,36    </w:t>
            </w:r>
          </w:p>
        </w:tc>
        <w:tc>
          <w:tcPr>
            <w:tcW w:w="702" w:type="dxa"/>
            <w:gridSpan w:val="2"/>
            <w:shd w:val="clear" w:color="auto" w:fill="FFFFFF"/>
            <w:vAlign w:val="center"/>
          </w:tcPr>
          <w:p w14:paraId="1F234786"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-14,50    </w:t>
            </w:r>
          </w:p>
        </w:tc>
        <w:tc>
          <w:tcPr>
            <w:tcW w:w="702" w:type="dxa"/>
            <w:gridSpan w:val="2"/>
            <w:shd w:val="clear" w:color="auto" w:fill="FFFFFF"/>
            <w:vAlign w:val="center"/>
          </w:tcPr>
          <w:p w14:paraId="277BA597" w14:textId="77777777" w:rsidR="000970B7" w:rsidRPr="00052A6C" w:rsidRDefault="000970B7" w:rsidP="000970B7">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 xml:space="preserve">-14,64    </w:t>
            </w:r>
          </w:p>
        </w:tc>
        <w:tc>
          <w:tcPr>
            <w:tcW w:w="996" w:type="dxa"/>
            <w:gridSpan w:val="2"/>
            <w:shd w:val="clear" w:color="auto" w:fill="FFFFFF"/>
            <w:vAlign w:val="center"/>
          </w:tcPr>
          <w:p w14:paraId="4D8C5763" w14:textId="77777777" w:rsidR="000970B7" w:rsidRPr="00052A6C" w:rsidRDefault="000970B7" w:rsidP="000970B7">
            <w:pPr>
              <w:spacing w:line="257" w:lineRule="auto"/>
              <w:rPr>
                <w:rFonts w:ascii="Times New Roman" w:hAnsi="Times New Roman" w:cs="Times New Roman"/>
                <w:spacing w:val="-2"/>
                <w:sz w:val="24"/>
                <w:szCs w:val="24"/>
              </w:rPr>
            </w:pPr>
            <w:r w:rsidRPr="00052A6C">
              <w:rPr>
                <w:rFonts w:ascii="Times New Roman" w:hAnsi="Times New Roman" w:cs="Times New Roman"/>
                <w:sz w:val="24"/>
                <w:szCs w:val="24"/>
              </w:rPr>
              <w:t xml:space="preserve">-130,66    </w:t>
            </w:r>
          </w:p>
        </w:tc>
      </w:tr>
      <w:tr w:rsidR="00626AFA" w:rsidRPr="008C7038" w14:paraId="08EEAAD5" w14:textId="77777777" w:rsidTr="008C7038">
        <w:trPr>
          <w:gridAfter w:val="1"/>
          <w:wAfter w:w="114" w:type="dxa"/>
          <w:trHeight w:val="357"/>
        </w:trPr>
        <w:tc>
          <w:tcPr>
            <w:tcW w:w="2127" w:type="dxa"/>
            <w:gridSpan w:val="3"/>
            <w:shd w:val="clear" w:color="auto" w:fill="FFFFFF"/>
            <w:vAlign w:val="center"/>
          </w:tcPr>
          <w:p w14:paraId="7BDB6D42"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JST</w:t>
            </w:r>
          </w:p>
        </w:tc>
        <w:tc>
          <w:tcPr>
            <w:tcW w:w="701" w:type="dxa"/>
            <w:shd w:val="clear" w:color="auto" w:fill="FFFFFF"/>
            <w:vAlign w:val="center"/>
          </w:tcPr>
          <w:p w14:paraId="2BFB7F21"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A48DC18"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08306D0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44D32CA9"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465330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964438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67F68BC"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20E1D435"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296BBE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BB3BE80"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799FFAB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0961D32A"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626AFA" w:rsidRPr="008C7038" w14:paraId="34803B71" w14:textId="77777777" w:rsidTr="008C7038">
        <w:trPr>
          <w:gridAfter w:val="1"/>
          <w:wAfter w:w="114" w:type="dxa"/>
          <w:trHeight w:val="357"/>
        </w:trPr>
        <w:tc>
          <w:tcPr>
            <w:tcW w:w="2127" w:type="dxa"/>
            <w:gridSpan w:val="3"/>
            <w:shd w:val="clear" w:color="auto" w:fill="FFFFFF"/>
            <w:vAlign w:val="center"/>
          </w:tcPr>
          <w:p w14:paraId="471C662D"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pozostałe jednostki (oddzielnie)</w:t>
            </w:r>
          </w:p>
        </w:tc>
        <w:tc>
          <w:tcPr>
            <w:tcW w:w="701" w:type="dxa"/>
            <w:shd w:val="clear" w:color="auto" w:fill="FFFFFF"/>
            <w:vAlign w:val="center"/>
          </w:tcPr>
          <w:p w14:paraId="27889A0D"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E8AA60F"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4"/>
            <w:shd w:val="clear" w:color="auto" w:fill="FFFFFF"/>
            <w:vAlign w:val="center"/>
          </w:tcPr>
          <w:p w14:paraId="68117646"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0F339B2"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0DF9021D"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24D2B89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4300B56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1" w:type="dxa"/>
            <w:gridSpan w:val="2"/>
            <w:shd w:val="clear" w:color="auto" w:fill="FFFFFF"/>
            <w:vAlign w:val="center"/>
          </w:tcPr>
          <w:p w14:paraId="0D3C6DF4"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6252DB8B"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1FBD3C4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702" w:type="dxa"/>
            <w:gridSpan w:val="2"/>
            <w:shd w:val="clear" w:color="auto" w:fill="FFFFFF"/>
            <w:vAlign w:val="center"/>
          </w:tcPr>
          <w:p w14:paraId="39BE9FBA" w14:textId="77777777" w:rsidR="003A6F7A" w:rsidRPr="00052A6C" w:rsidRDefault="003A6F7A" w:rsidP="00626AFA">
            <w:pPr>
              <w:spacing w:line="257" w:lineRule="auto"/>
              <w:jc w:val="right"/>
              <w:rPr>
                <w:rFonts w:ascii="Times New Roman" w:hAnsi="Times New Roman" w:cs="Times New Roman"/>
                <w:sz w:val="24"/>
                <w:szCs w:val="24"/>
              </w:rPr>
            </w:pPr>
            <w:r w:rsidRPr="00052A6C">
              <w:rPr>
                <w:rFonts w:ascii="Times New Roman" w:hAnsi="Times New Roman" w:cs="Times New Roman"/>
                <w:sz w:val="24"/>
                <w:szCs w:val="24"/>
              </w:rPr>
              <w:t>0</w:t>
            </w:r>
          </w:p>
        </w:tc>
        <w:tc>
          <w:tcPr>
            <w:tcW w:w="996" w:type="dxa"/>
            <w:gridSpan w:val="2"/>
            <w:shd w:val="clear" w:color="auto" w:fill="FFFFFF"/>
          </w:tcPr>
          <w:p w14:paraId="610268ED" w14:textId="77777777" w:rsidR="003A6F7A" w:rsidRPr="00052A6C" w:rsidRDefault="003A6F7A" w:rsidP="003A6F7A">
            <w:pPr>
              <w:spacing w:line="257" w:lineRule="auto"/>
              <w:rPr>
                <w:rFonts w:ascii="Times New Roman" w:hAnsi="Times New Roman" w:cs="Times New Roman"/>
                <w:sz w:val="24"/>
                <w:szCs w:val="24"/>
              </w:rPr>
            </w:pPr>
            <w:r w:rsidRPr="00052A6C">
              <w:rPr>
                <w:rFonts w:ascii="Times New Roman" w:hAnsi="Times New Roman" w:cs="Times New Roman"/>
                <w:sz w:val="24"/>
                <w:szCs w:val="24"/>
              </w:rPr>
              <w:t>0</w:t>
            </w:r>
          </w:p>
        </w:tc>
      </w:tr>
      <w:tr w:rsidR="003A6F7A" w:rsidRPr="008C7038" w14:paraId="42BB3706" w14:textId="77777777" w:rsidTr="008C7038">
        <w:trPr>
          <w:gridAfter w:val="2"/>
          <w:wAfter w:w="124" w:type="dxa"/>
          <w:trHeight w:val="348"/>
        </w:trPr>
        <w:tc>
          <w:tcPr>
            <w:tcW w:w="2127" w:type="dxa"/>
            <w:gridSpan w:val="3"/>
            <w:shd w:val="clear" w:color="auto" w:fill="FFFFFF"/>
            <w:vAlign w:val="center"/>
          </w:tcPr>
          <w:p w14:paraId="367534BE"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Źródła finansowania </w:t>
            </w:r>
          </w:p>
        </w:tc>
        <w:tc>
          <w:tcPr>
            <w:tcW w:w="8705" w:type="dxa"/>
            <w:gridSpan w:val="24"/>
            <w:shd w:val="clear" w:color="auto" w:fill="FFFFFF"/>
            <w:vAlign w:val="center"/>
          </w:tcPr>
          <w:p w14:paraId="49753CEE" w14:textId="77777777" w:rsidR="003A6F7A" w:rsidRPr="008C7038" w:rsidRDefault="003A6F7A" w:rsidP="00277F6C">
            <w:pPr>
              <w:spacing w:after="120" w:line="257" w:lineRule="auto"/>
              <w:jc w:val="both"/>
              <w:rPr>
                <w:rFonts w:ascii="Times New Roman" w:hAnsi="Times New Roman" w:cs="Times New Roman"/>
                <w:sz w:val="24"/>
                <w:szCs w:val="24"/>
              </w:rPr>
            </w:pPr>
            <w:r w:rsidRPr="008C7038">
              <w:rPr>
                <w:rFonts w:ascii="Times New Roman" w:hAnsi="Times New Roman" w:cs="Times New Roman"/>
                <w:sz w:val="24"/>
                <w:szCs w:val="24"/>
              </w:rPr>
              <w:t>Środki pochodzące z budżetu UE, środki budżetu państwa przy założeniu, że rok 201</w:t>
            </w:r>
            <w:r w:rsidR="006E1851" w:rsidRPr="008C7038">
              <w:rPr>
                <w:rFonts w:ascii="Times New Roman" w:hAnsi="Times New Roman" w:cs="Times New Roman"/>
                <w:sz w:val="24"/>
                <w:szCs w:val="24"/>
              </w:rPr>
              <w:t>9</w:t>
            </w:r>
            <w:r w:rsidRPr="008C7038">
              <w:rPr>
                <w:rFonts w:ascii="Times New Roman" w:hAnsi="Times New Roman" w:cs="Times New Roman"/>
                <w:sz w:val="24"/>
                <w:szCs w:val="24"/>
              </w:rPr>
              <w:t xml:space="preserve"> jest rokiem 0:</w:t>
            </w:r>
          </w:p>
          <w:p w14:paraId="31AF637C" w14:textId="77777777" w:rsidR="003A6F7A" w:rsidRPr="008C7038" w:rsidRDefault="009815DA"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Na wdrożenie rozwiązania</w:t>
            </w:r>
            <w:r w:rsidR="003A6F7A" w:rsidRPr="008C7038">
              <w:rPr>
                <w:rFonts w:ascii="Times New Roman" w:hAnsi="Times New Roman" w:cs="Times New Roman"/>
                <w:sz w:val="24"/>
                <w:szCs w:val="24"/>
              </w:rPr>
              <w:t xml:space="preserve"> przypada </w:t>
            </w:r>
            <w:r w:rsidR="000970B7" w:rsidRPr="008C7038">
              <w:rPr>
                <w:rFonts w:ascii="Times New Roman" w:hAnsi="Times New Roman" w:cs="Times New Roman"/>
                <w:sz w:val="24"/>
                <w:szCs w:val="24"/>
              </w:rPr>
              <w:t>52</w:t>
            </w:r>
            <w:r w:rsidR="006E1851" w:rsidRPr="008C7038">
              <w:rPr>
                <w:rFonts w:ascii="Times New Roman" w:hAnsi="Times New Roman" w:cs="Times New Roman"/>
                <w:sz w:val="24"/>
                <w:szCs w:val="24"/>
              </w:rPr>
              <w:t>,</w:t>
            </w:r>
            <w:r w:rsidR="000970B7" w:rsidRPr="008C7038">
              <w:rPr>
                <w:rFonts w:ascii="Times New Roman" w:hAnsi="Times New Roman" w:cs="Times New Roman"/>
                <w:sz w:val="24"/>
                <w:szCs w:val="24"/>
              </w:rPr>
              <w:t xml:space="preserve">99 </w:t>
            </w:r>
            <w:r w:rsidR="003A6F7A" w:rsidRPr="008C7038">
              <w:rPr>
                <w:rFonts w:ascii="Times New Roman" w:hAnsi="Times New Roman" w:cs="Times New Roman"/>
                <w:sz w:val="24"/>
                <w:szCs w:val="24"/>
              </w:rPr>
              <w:t xml:space="preserve">mln zł (w tym ze środków UE </w:t>
            </w:r>
            <w:r w:rsidR="00E61AA3" w:rsidRPr="008C7038">
              <w:rPr>
                <w:rFonts w:ascii="Times New Roman" w:hAnsi="Times New Roman" w:cs="Times New Roman"/>
                <w:sz w:val="24"/>
                <w:szCs w:val="24"/>
              </w:rPr>
              <w:t>44</w:t>
            </w:r>
            <w:r w:rsidR="006E1851" w:rsidRPr="008C7038">
              <w:rPr>
                <w:rFonts w:ascii="Times New Roman" w:hAnsi="Times New Roman" w:cs="Times New Roman"/>
                <w:sz w:val="24"/>
                <w:szCs w:val="24"/>
              </w:rPr>
              <w:t>,</w:t>
            </w:r>
            <w:r w:rsidR="00E61AA3" w:rsidRPr="008C7038">
              <w:rPr>
                <w:rFonts w:ascii="Times New Roman" w:hAnsi="Times New Roman" w:cs="Times New Roman"/>
                <w:sz w:val="24"/>
                <w:szCs w:val="24"/>
              </w:rPr>
              <w:t xml:space="preserve">84 </w:t>
            </w:r>
            <w:r w:rsidR="003A6F7A" w:rsidRPr="008C7038">
              <w:rPr>
                <w:rFonts w:ascii="Times New Roman" w:hAnsi="Times New Roman" w:cs="Times New Roman"/>
                <w:sz w:val="24"/>
                <w:szCs w:val="24"/>
              </w:rPr>
              <w:lastRenderedPageBreak/>
              <w:t xml:space="preserve">mln zł, z budżetu państwa </w:t>
            </w:r>
            <w:r w:rsidR="00E61AA3" w:rsidRPr="008C7038">
              <w:rPr>
                <w:rFonts w:ascii="Times New Roman" w:hAnsi="Times New Roman" w:cs="Times New Roman"/>
                <w:sz w:val="24"/>
                <w:szCs w:val="24"/>
              </w:rPr>
              <w:t>8</w:t>
            </w:r>
            <w:r w:rsidR="006E1851" w:rsidRPr="008C7038">
              <w:rPr>
                <w:rFonts w:ascii="Times New Roman" w:hAnsi="Times New Roman" w:cs="Times New Roman"/>
                <w:sz w:val="24"/>
                <w:szCs w:val="24"/>
              </w:rPr>
              <w:t>,</w:t>
            </w:r>
            <w:r w:rsidR="00E61AA3" w:rsidRPr="008C7038">
              <w:rPr>
                <w:rFonts w:ascii="Times New Roman" w:hAnsi="Times New Roman" w:cs="Times New Roman"/>
                <w:sz w:val="24"/>
                <w:szCs w:val="24"/>
              </w:rPr>
              <w:t xml:space="preserve">15 </w:t>
            </w:r>
            <w:r w:rsidR="003A6F7A" w:rsidRPr="008C7038">
              <w:rPr>
                <w:rFonts w:ascii="Times New Roman" w:hAnsi="Times New Roman" w:cs="Times New Roman"/>
                <w:sz w:val="24"/>
                <w:szCs w:val="24"/>
              </w:rPr>
              <w:t>mln zł</w:t>
            </w:r>
            <w:r w:rsidR="00F618E6" w:rsidRPr="008C7038">
              <w:rPr>
                <w:rFonts w:ascii="Times New Roman" w:hAnsi="Times New Roman" w:cs="Times New Roman"/>
                <w:sz w:val="24"/>
                <w:szCs w:val="24"/>
              </w:rPr>
              <w:t xml:space="preserve"> – cz. 27</w:t>
            </w:r>
            <w:r w:rsidR="00A66174" w:rsidRPr="008C7038">
              <w:rPr>
                <w:rFonts w:ascii="Times New Roman" w:hAnsi="Times New Roman" w:cs="Times New Roman"/>
                <w:sz w:val="24"/>
                <w:szCs w:val="24"/>
              </w:rPr>
              <w:t xml:space="preserve"> – </w:t>
            </w:r>
            <w:r w:rsidR="00F618E6" w:rsidRPr="008C7038">
              <w:rPr>
                <w:rFonts w:ascii="Times New Roman" w:hAnsi="Times New Roman" w:cs="Times New Roman"/>
                <w:sz w:val="24"/>
                <w:szCs w:val="24"/>
              </w:rPr>
              <w:t>Informatyzacja</w:t>
            </w:r>
            <w:r w:rsidR="003A6F7A" w:rsidRPr="008C7038">
              <w:rPr>
                <w:rFonts w:ascii="Times New Roman" w:hAnsi="Times New Roman" w:cs="Times New Roman"/>
                <w:sz w:val="24"/>
                <w:szCs w:val="24"/>
              </w:rPr>
              <w:t>)</w:t>
            </w:r>
            <w:r w:rsidR="00174A1E" w:rsidRPr="008C7038">
              <w:rPr>
                <w:rFonts w:ascii="Times New Roman" w:hAnsi="Times New Roman" w:cs="Times New Roman"/>
                <w:sz w:val="24"/>
                <w:szCs w:val="24"/>
              </w:rPr>
              <w:t>,</w:t>
            </w:r>
          </w:p>
          <w:p w14:paraId="30884A8A" w14:textId="77777777" w:rsidR="00174A1E" w:rsidRPr="008C7038" w:rsidRDefault="00E61AA3"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Na</w:t>
            </w:r>
            <w:r w:rsidR="003A6F7A" w:rsidRPr="008C7038">
              <w:rPr>
                <w:rFonts w:ascii="Times New Roman" w:hAnsi="Times New Roman" w:cs="Times New Roman"/>
                <w:sz w:val="24"/>
                <w:szCs w:val="24"/>
              </w:rPr>
              <w:t xml:space="preserve"> finansowanie </w:t>
            </w:r>
            <w:r w:rsidRPr="008C7038">
              <w:rPr>
                <w:rFonts w:ascii="Times New Roman" w:hAnsi="Times New Roman" w:cs="Times New Roman"/>
                <w:sz w:val="24"/>
                <w:szCs w:val="24"/>
              </w:rPr>
              <w:t xml:space="preserve">stabilizacji rozwiązania w okresie pilotażu oraz </w:t>
            </w:r>
            <w:r w:rsidR="003A6F7A" w:rsidRPr="008C7038">
              <w:rPr>
                <w:rFonts w:ascii="Times New Roman" w:hAnsi="Times New Roman" w:cs="Times New Roman"/>
                <w:sz w:val="24"/>
                <w:szCs w:val="24"/>
              </w:rPr>
              <w:t xml:space="preserve">utrzymania w okresie </w:t>
            </w:r>
            <w:r w:rsidR="006E1851" w:rsidRPr="008C7038">
              <w:rPr>
                <w:rFonts w:ascii="Times New Roman" w:hAnsi="Times New Roman" w:cs="Times New Roman"/>
                <w:sz w:val="24"/>
                <w:szCs w:val="24"/>
              </w:rPr>
              <w:t>0-</w:t>
            </w:r>
            <w:r w:rsidR="003A6F7A" w:rsidRPr="008C7038">
              <w:rPr>
                <w:rFonts w:ascii="Times New Roman" w:hAnsi="Times New Roman" w:cs="Times New Roman"/>
                <w:sz w:val="24"/>
                <w:szCs w:val="24"/>
              </w:rPr>
              <w:t xml:space="preserve">10 lat w wysokości </w:t>
            </w:r>
            <w:r w:rsidR="005F0E8C" w:rsidRPr="008C7038">
              <w:rPr>
                <w:rFonts w:ascii="Times New Roman" w:hAnsi="Times New Roman" w:cs="Times New Roman"/>
                <w:sz w:val="24"/>
                <w:szCs w:val="24"/>
              </w:rPr>
              <w:t>118,64</w:t>
            </w:r>
            <w:r w:rsidR="006E1851" w:rsidRPr="008C7038">
              <w:rPr>
                <w:rFonts w:ascii="Times New Roman" w:hAnsi="Times New Roman" w:cs="Times New Roman"/>
                <w:sz w:val="24"/>
                <w:szCs w:val="24"/>
              </w:rPr>
              <w:t xml:space="preserve"> </w:t>
            </w:r>
            <w:r w:rsidR="003A6F7A" w:rsidRPr="008C7038">
              <w:rPr>
                <w:rFonts w:ascii="Times New Roman" w:hAnsi="Times New Roman" w:cs="Times New Roman"/>
                <w:sz w:val="24"/>
                <w:szCs w:val="24"/>
              </w:rPr>
              <w:t xml:space="preserve">mln zł </w:t>
            </w:r>
            <w:r w:rsidR="00174A1E" w:rsidRPr="008C7038">
              <w:rPr>
                <w:rFonts w:ascii="Times New Roman" w:hAnsi="Times New Roman" w:cs="Times New Roman"/>
                <w:sz w:val="24"/>
                <w:szCs w:val="24"/>
              </w:rPr>
              <w:t xml:space="preserve">( </w:t>
            </w:r>
            <w:r w:rsidRPr="008C7038">
              <w:rPr>
                <w:rFonts w:ascii="Times New Roman" w:hAnsi="Times New Roman" w:cs="Times New Roman"/>
                <w:sz w:val="24"/>
                <w:szCs w:val="24"/>
              </w:rPr>
              <w:t xml:space="preserve">w tym ze środków UE 8,84 mln zł, z budżetu państwa </w:t>
            </w:r>
            <w:r w:rsidR="005F0E8C" w:rsidRPr="008C7038">
              <w:rPr>
                <w:rFonts w:ascii="Times New Roman" w:hAnsi="Times New Roman" w:cs="Times New Roman"/>
                <w:sz w:val="24"/>
                <w:szCs w:val="24"/>
              </w:rPr>
              <w:t>109,8</w:t>
            </w:r>
            <w:r w:rsidRPr="008C7038">
              <w:rPr>
                <w:rFonts w:ascii="Times New Roman" w:hAnsi="Times New Roman" w:cs="Times New Roman"/>
                <w:sz w:val="24"/>
                <w:szCs w:val="24"/>
              </w:rPr>
              <w:t xml:space="preserve"> mln - </w:t>
            </w:r>
            <w:r w:rsidR="00174A1E" w:rsidRPr="008C7038">
              <w:rPr>
                <w:rFonts w:ascii="Times New Roman" w:hAnsi="Times New Roman" w:cs="Times New Roman"/>
                <w:sz w:val="24"/>
                <w:szCs w:val="24"/>
              </w:rPr>
              <w:t>cz. 27 – Informatyzacja),</w:t>
            </w:r>
          </w:p>
          <w:p w14:paraId="77A05656" w14:textId="77777777" w:rsidR="003A6F7A" w:rsidRPr="008C7038" w:rsidRDefault="00174A1E"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 xml:space="preserve">Wybór </w:t>
            </w:r>
            <w:r w:rsidR="00453925" w:rsidRPr="008C7038">
              <w:rPr>
                <w:rFonts w:ascii="Times New Roman" w:hAnsi="Times New Roman" w:cs="Times New Roman"/>
                <w:sz w:val="24"/>
                <w:szCs w:val="24"/>
              </w:rPr>
              <w:t>operatora wyznaczonego</w:t>
            </w:r>
            <w:r w:rsidRPr="008C7038">
              <w:rPr>
                <w:rFonts w:ascii="Times New Roman" w:hAnsi="Times New Roman" w:cs="Times New Roman"/>
                <w:sz w:val="24"/>
                <w:szCs w:val="24"/>
              </w:rPr>
              <w:t xml:space="preserve"> – powołanie interdyscyplinarnego zespołu ekspertów, koszty ekspertyzy</w:t>
            </w:r>
            <w:r w:rsidR="00A66174" w:rsidRPr="008C7038">
              <w:rPr>
                <w:rFonts w:ascii="Times New Roman" w:hAnsi="Times New Roman" w:cs="Times New Roman"/>
                <w:sz w:val="24"/>
                <w:szCs w:val="24"/>
              </w:rPr>
              <w:t xml:space="preserve"> w wysokości 3,</w:t>
            </w:r>
            <w:r w:rsidR="002A279F" w:rsidRPr="008C7038">
              <w:rPr>
                <w:rFonts w:ascii="Times New Roman" w:hAnsi="Times New Roman" w:cs="Times New Roman"/>
                <w:sz w:val="24"/>
                <w:szCs w:val="24"/>
              </w:rPr>
              <w:t>63</w:t>
            </w:r>
            <w:r w:rsidR="00A66174" w:rsidRPr="008C7038">
              <w:rPr>
                <w:rFonts w:ascii="Times New Roman" w:hAnsi="Times New Roman" w:cs="Times New Roman"/>
                <w:sz w:val="24"/>
                <w:szCs w:val="24"/>
              </w:rPr>
              <w:t xml:space="preserve"> mln zł </w:t>
            </w:r>
            <w:r w:rsidRPr="008C7038">
              <w:rPr>
                <w:rFonts w:ascii="Times New Roman" w:hAnsi="Times New Roman" w:cs="Times New Roman"/>
                <w:sz w:val="24"/>
                <w:szCs w:val="24"/>
              </w:rPr>
              <w:t>(cz. 76 – Urząd Komunikacji Elektronicznej),</w:t>
            </w:r>
          </w:p>
          <w:p w14:paraId="5D1D2903" w14:textId="77777777" w:rsidR="006C4A10" w:rsidRPr="008C7038" w:rsidRDefault="006C4A10" w:rsidP="00277F6C">
            <w:pPr>
              <w:pStyle w:val="Akapitzlist"/>
              <w:numPr>
                <w:ilvl w:val="0"/>
                <w:numId w:val="38"/>
              </w:numPr>
              <w:spacing w:after="120" w:line="257" w:lineRule="auto"/>
              <w:ind w:left="63" w:firstLine="0"/>
              <w:contextualSpacing w:val="0"/>
              <w:jc w:val="both"/>
              <w:rPr>
                <w:rFonts w:ascii="Times New Roman" w:hAnsi="Times New Roman" w:cs="Times New Roman"/>
                <w:sz w:val="24"/>
                <w:szCs w:val="24"/>
              </w:rPr>
            </w:pPr>
            <w:r w:rsidRPr="008C7038">
              <w:rPr>
                <w:rFonts w:ascii="Times New Roman" w:hAnsi="Times New Roman" w:cs="Times New Roman"/>
                <w:sz w:val="24"/>
                <w:szCs w:val="24"/>
              </w:rPr>
              <w:t xml:space="preserve">Kontrola i nadzór nad </w:t>
            </w:r>
            <w:r w:rsidR="00453925" w:rsidRPr="008C7038">
              <w:rPr>
                <w:rFonts w:ascii="Times New Roman" w:hAnsi="Times New Roman" w:cs="Times New Roman"/>
                <w:sz w:val="24"/>
                <w:szCs w:val="24"/>
              </w:rPr>
              <w:t>operatorem wyznaczonym</w:t>
            </w:r>
            <w:r w:rsidRPr="008C7038">
              <w:rPr>
                <w:rFonts w:ascii="Times New Roman" w:hAnsi="Times New Roman" w:cs="Times New Roman"/>
                <w:sz w:val="24"/>
                <w:szCs w:val="24"/>
              </w:rPr>
              <w:t xml:space="preserve"> </w:t>
            </w:r>
            <w:r w:rsidR="002A279F" w:rsidRPr="008C7038">
              <w:rPr>
                <w:rFonts w:ascii="Times New Roman" w:hAnsi="Times New Roman" w:cs="Times New Roman"/>
                <w:sz w:val="24"/>
                <w:szCs w:val="24"/>
              </w:rPr>
              <w:t xml:space="preserve">w wysokości 9,97 mln zł </w:t>
            </w:r>
            <w:r w:rsidRPr="008C7038">
              <w:rPr>
                <w:rFonts w:ascii="Times New Roman" w:hAnsi="Times New Roman" w:cs="Times New Roman"/>
                <w:sz w:val="24"/>
                <w:szCs w:val="24"/>
              </w:rPr>
              <w:t>(cz. 76 – Urząd Komunikacji Elektronicznej)</w:t>
            </w:r>
            <w:r w:rsidR="00F618E6" w:rsidRPr="008C7038">
              <w:rPr>
                <w:rFonts w:ascii="Times New Roman" w:hAnsi="Times New Roman" w:cs="Times New Roman"/>
                <w:sz w:val="24"/>
                <w:szCs w:val="24"/>
              </w:rPr>
              <w:t>.</w:t>
            </w:r>
          </w:p>
        </w:tc>
      </w:tr>
      <w:tr w:rsidR="003A6F7A" w:rsidRPr="008C7038" w14:paraId="1AD5AC84" w14:textId="77777777" w:rsidTr="008C7038">
        <w:trPr>
          <w:gridAfter w:val="2"/>
          <w:wAfter w:w="124" w:type="dxa"/>
          <w:trHeight w:val="699"/>
        </w:trPr>
        <w:tc>
          <w:tcPr>
            <w:tcW w:w="2127" w:type="dxa"/>
            <w:gridSpan w:val="3"/>
            <w:shd w:val="clear" w:color="auto" w:fill="FFFFFF"/>
          </w:tcPr>
          <w:p w14:paraId="233AC057"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Dodatkowe informacje, w tym wskazanie źródeł danych i przyjętych do obliczeń założeń</w:t>
            </w:r>
          </w:p>
        </w:tc>
        <w:tc>
          <w:tcPr>
            <w:tcW w:w="8705" w:type="dxa"/>
            <w:gridSpan w:val="24"/>
            <w:shd w:val="clear" w:color="auto" w:fill="FFFFFF"/>
          </w:tcPr>
          <w:p w14:paraId="1FF1974F" w14:textId="77777777" w:rsidR="003A6F7A" w:rsidRPr="00052A6C" w:rsidRDefault="003A6F7A" w:rsidP="00277F6C">
            <w:pPr>
              <w:spacing w:after="12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W wydatkach ogółem zostały uwzględnione koszty opisane poniżej w punktach 1-4.</w:t>
            </w:r>
          </w:p>
          <w:p w14:paraId="1246730A" w14:textId="77777777" w:rsidR="003A6F7A" w:rsidRPr="00052A6C" w:rsidRDefault="00C93092" w:rsidP="00277F6C">
            <w:pPr>
              <w:pStyle w:val="Akapitzlist"/>
              <w:numPr>
                <w:ilvl w:val="0"/>
                <w:numId w:val="6"/>
              </w:numPr>
              <w:spacing w:after="120"/>
              <w:ind w:left="346" w:hanging="346"/>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 xml:space="preserve">Wydatki na </w:t>
            </w:r>
            <w:r w:rsidR="003A6F7A" w:rsidRPr="00052A6C">
              <w:rPr>
                <w:rFonts w:ascii="Times New Roman" w:hAnsi="Times New Roman" w:cs="Times New Roman"/>
                <w:sz w:val="24"/>
                <w:szCs w:val="24"/>
                <w:u w:val="single"/>
              </w:rPr>
              <w:t>wdrożeni</w:t>
            </w:r>
            <w:r w:rsidRPr="00052A6C">
              <w:rPr>
                <w:rFonts w:ascii="Times New Roman" w:hAnsi="Times New Roman" w:cs="Times New Roman"/>
                <w:sz w:val="24"/>
                <w:szCs w:val="24"/>
                <w:u w:val="single"/>
              </w:rPr>
              <w:t>e</w:t>
            </w:r>
            <w:r w:rsidR="003A6F7A" w:rsidRPr="00052A6C">
              <w:rPr>
                <w:rFonts w:ascii="Times New Roman" w:hAnsi="Times New Roman" w:cs="Times New Roman"/>
                <w:sz w:val="24"/>
                <w:szCs w:val="24"/>
                <w:u w:val="single"/>
              </w:rPr>
              <w:t xml:space="preserve"> rozwiązania (w strumieniu legislacyjnym i technologicznym)</w:t>
            </w:r>
            <w:r w:rsidR="00F618E6" w:rsidRPr="00052A6C">
              <w:rPr>
                <w:rFonts w:ascii="Times New Roman" w:hAnsi="Times New Roman" w:cs="Times New Roman"/>
                <w:sz w:val="24"/>
                <w:szCs w:val="24"/>
                <w:u w:val="single"/>
              </w:rPr>
              <w:t xml:space="preserve"> – cz. 27- Informatyzacja.</w:t>
            </w:r>
          </w:p>
          <w:p w14:paraId="33B80918" w14:textId="77777777" w:rsidR="003A6F7A" w:rsidRPr="00052A6C" w:rsidRDefault="003A6F7A" w:rsidP="00277F6C">
            <w:pPr>
              <w:pStyle w:val="Akapitzlist"/>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Koszt wdrożenia rozwiązania obejmuje koszt:</w:t>
            </w:r>
          </w:p>
          <w:p w14:paraId="3641BBFB" w14:textId="77777777" w:rsidR="008656ED" w:rsidRPr="00052A6C" w:rsidRDefault="008656ED"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dostosowania do </w:t>
            </w:r>
            <w:r w:rsidR="003A6F7A" w:rsidRPr="00052A6C">
              <w:rPr>
                <w:rFonts w:ascii="Times New Roman" w:hAnsi="Times New Roman" w:cs="Times New Roman"/>
                <w:sz w:val="24"/>
                <w:szCs w:val="24"/>
              </w:rPr>
              <w:t>przepisów prawa umoc</w:t>
            </w:r>
            <w:r w:rsidRPr="00052A6C">
              <w:rPr>
                <w:rFonts w:ascii="Times New Roman" w:hAnsi="Times New Roman" w:cs="Times New Roman"/>
                <w:sz w:val="24"/>
                <w:szCs w:val="24"/>
              </w:rPr>
              <w:t>owujących elektronizację doręczeń</w:t>
            </w:r>
            <w:r w:rsidR="003A6F7A" w:rsidRPr="00052A6C">
              <w:rPr>
                <w:rFonts w:ascii="Times New Roman" w:hAnsi="Times New Roman" w:cs="Times New Roman"/>
                <w:sz w:val="24"/>
                <w:szCs w:val="24"/>
              </w:rPr>
              <w:t>,</w:t>
            </w:r>
          </w:p>
          <w:p w14:paraId="12D552FE" w14:textId="77777777" w:rsidR="003A6F7A" w:rsidRPr="00052A6C" w:rsidRDefault="008656ED"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przygotowania technicznego standardu rejestrowanego doręczania elektronicznego zgodnego z normami technicznymi Europejskiego Instytutu Norm Telekomunikacyjnych zapewniającego interoperacyjność doręczeń świadczonych przez różnych dostawców usług ,</w:t>
            </w:r>
          </w:p>
          <w:p w14:paraId="1CDDA6B4" w14:textId="77777777" w:rsidR="003A6F7A" w:rsidRPr="00052A6C" w:rsidRDefault="003A6F7A"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wytworzenia oprogramowania, </w:t>
            </w:r>
          </w:p>
          <w:p w14:paraId="7E51055A" w14:textId="77777777" w:rsidR="003A6F7A" w:rsidRPr="00052A6C" w:rsidRDefault="003A6F7A" w:rsidP="00277F6C">
            <w:pPr>
              <w:pStyle w:val="Akapitzlist"/>
              <w:numPr>
                <w:ilvl w:val="0"/>
                <w:numId w:val="37"/>
              </w:numPr>
              <w:ind w:left="346" w:hanging="283"/>
              <w:contextualSpacing w:val="0"/>
              <w:jc w:val="both"/>
              <w:rPr>
                <w:rFonts w:ascii="Times New Roman" w:hAnsi="Times New Roman" w:cs="Times New Roman"/>
                <w:sz w:val="24"/>
                <w:szCs w:val="24"/>
              </w:rPr>
            </w:pPr>
            <w:r w:rsidRPr="00052A6C">
              <w:rPr>
                <w:rFonts w:ascii="Times New Roman" w:hAnsi="Times New Roman" w:cs="Times New Roman"/>
                <w:sz w:val="24"/>
                <w:szCs w:val="24"/>
              </w:rPr>
              <w:t>zakupu lub modyfikacji infrastruktury</w:t>
            </w:r>
            <w:r w:rsidR="006F0059" w:rsidRPr="00052A6C">
              <w:rPr>
                <w:rFonts w:ascii="Times New Roman" w:hAnsi="Times New Roman" w:cs="Times New Roman"/>
                <w:sz w:val="24"/>
                <w:szCs w:val="24"/>
              </w:rPr>
              <w:t>,</w:t>
            </w:r>
          </w:p>
          <w:p w14:paraId="05475638" w14:textId="77777777" w:rsidR="003A6F7A" w:rsidRPr="00052A6C" w:rsidRDefault="003A6F7A" w:rsidP="00277F6C">
            <w:pPr>
              <w:pStyle w:val="Akapitzlist"/>
              <w:numPr>
                <w:ilvl w:val="0"/>
                <w:numId w:val="37"/>
              </w:numPr>
              <w:spacing w:after="120"/>
              <w:ind w:left="346" w:hanging="284"/>
              <w:contextualSpacing w:val="0"/>
              <w:jc w:val="both"/>
              <w:rPr>
                <w:rFonts w:ascii="Times New Roman" w:hAnsi="Times New Roman" w:cs="Times New Roman"/>
                <w:sz w:val="24"/>
                <w:szCs w:val="24"/>
              </w:rPr>
            </w:pPr>
            <w:r w:rsidRPr="00052A6C">
              <w:rPr>
                <w:rFonts w:ascii="Times New Roman" w:hAnsi="Times New Roman" w:cs="Times New Roman"/>
                <w:sz w:val="24"/>
                <w:szCs w:val="24"/>
              </w:rPr>
              <w:t>pozostałe koszty</w:t>
            </w:r>
            <w:r w:rsidR="00B1189F" w:rsidRPr="00052A6C">
              <w:rPr>
                <w:rFonts w:ascii="Times New Roman" w:hAnsi="Times New Roman" w:cs="Times New Roman"/>
                <w:sz w:val="24"/>
                <w:szCs w:val="24"/>
              </w:rPr>
              <w:t>(</w:t>
            </w:r>
            <w:r w:rsidR="00E61AA3" w:rsidRPr="00052A6C">
              <w:rPr>
                <w:rFonts w:ascii="Times New Roman" w:hAnsi="Times New Roman" w:cs="Times New Roman"/>
                <w:sz w:val="24"/>
                <w:szCs w:val="24"/>
              </w:rPr>
              <w:t xml:space="preserve"> w tym </w:t>
            </w:r>
            <w:r w:rsidR="00B1189F" w:rsidRPr="00052A6C">
              <w:rPr>
                <w:rFonts w:ascii="Times New Roman" w:hAnsi="Times New Roman" w:cs="Times New Roman"/>
                <w:sz w:val="24"/>
                <w:szCs w:val="24"/>
              </w:rPr>
              <w:t>kampania informacyjno-promocyjna, szkolenia i inne)</w:t>
            </w:r>
            <w:r w:rsidRPr="00052A6C">
              <w:rPr>
                <w:rFonts w:ascii="Times New Roman" w:hAnsi="Times New Roman" w:cs="Times New Roman"/>
                <w:sz w:val="24"/>
                <w:szCs w:val="24"/>
              </w:rPr>
              <w:t xml:space="preserve">. </w:t>
            </w:r>
          </w:p>
          <w:p w14:paraId="1CC35406" w14:textId="77777777" w:rsidR="003A6F7A" w:rsidRPr="00052A6C" w:rsidRDefault="003A6F7A"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 wytworzenia oprogramowania będzie obejmował utworzenie Bazy Adresów Elektronicznych w ramach </w:t>
            </w:r>
            <w:r w:rsidR="009637FD" w:rsidRPr="00052A6C">
              <w:rPr>
                <w:rFonts w:ascii="Times New Roman" w:hAnsi="Times New Roman" w:cs="Times New Roman"/>
                <w:sz w:val="24"/>
                <w:szCs w:val="24"/>
              </w:rPr>
              <w:t>rejestrów państwowych</w:t>
            </w:r>
            <w:r w:rsidRPr="00052A6C">
              <w:rPr>
                <w:rFonts w:ascii="Times New Roman" w:hAnsi="Times New Roman" w:cs="Times New Roman"/>
                <w:sz w:val="24"/>
                <w:szCs w:val="24"/>
              </w:rPr>
              <w:t xml:space="preserve">, wdrożenie centralnego modułu komunikacyjnego zapewniającego obsługę i integrację usługi rejestrowanego doręczenia elektronicznego świadczonej przez </w:t>
            </w:r>
            <w:r w:rsidR="009626B7" w:rsidRPr="00052A6C">
              <w:rPr>
                <w:rFonts w:ascii="Times New Roman" w:hAnsi="Times New Roman" w:cs="Times New Roman"/>
                <w:sz w:val="24"/>
                <w:szCs w:val="24"/>
              </w:rPr>
              <w:t xml:space="preserve">operatora wyznaczonego </w:t>
            </w:r>
            <w:r w:rsidRPr="00052A6C">
              <w:rPr>
                <w:rFonts w:ascii="Times New Roman" w:hAnsi="Times New Roman" w:cs="Times New Roman"/>
                <w:sz w:val="24"/>
                <w:szCs w:val="24"/>
              </w:rPr>
              <w:t xml:space="preserve">z usługami świadczonymi przez innych kwalifikowanych dostawców, integrację z </w:t>
            </w:r>
            <w:r w:rsidR="009626B7" w:rsidRPr="00052A6C">
              <w:rPr>
                <w:rFonts w:ascii="Times New Roman" w:hAnsi="Times New Roman" w:cs="Times New Roman"/>
                <w:sz w:val="24"/>
                <w:szCs w:val="24"/>
              </w:rPr>
              <w:t>publiczną usługą hybrydową</w:t>
            </w:r>
            <w:r w:rsidRPr="00052A6C">
              <w:rPr>
                <w:rFonts w:ascii="Times New Roman" w:hAnsi="Times New Roman" w:cs="Times New Roman"/>
                <w:sz w:val="24"/>
                <w:szCs w:val="24"/>
              </w:rPr>
              <w:t xml:space="preserve">, integrację z innymi rejestrami publicznymi, e-usługami i systemami zarządzania dokumentacją podmiotów publicznych. </w:t>
            </w:r>
            <w:r w:rsidR="00C93092" w:rsidRPr="00052A6C">
              <w:rPr>
                <w:rFonts w:ascii="Times New Roman" w:hAnsi="Times New Roman" w:cs="Times New Roman"/>
                <w:sz w:val="24"/>
                <w:szCs w:val="24"/>
              </w:rPr>
              <w:t xml:space="preserve">Wydatki na wdrożenie </w:t>
            </w:r>
            <w:r w:rsidR="00E61AA3" w:rsidRPr="00052A6C">
              <w:rPr>
                <w:rFonts w:ascii="Times New Roman" w:hAnsi="Times New Roman" w:cs="Times New Roman"/>
                <w:sz w:val="24"/>
                <w:szCs w:val="24"/>
              </w:rPr>
              <w:t xml:space="preserve">z budżetu państwa </w:t>
            </w:r>
            <w:r w:rsidR="00C93092" w:rsidRPr="00052A6C">
              <w:rPr>
                <w:rFonts w:ascii="Times New Roman" w:hAnsi="Times New Roman" w:cs="Times New Roman"/>
                <w:sz w:val="24"/>
                <w:szCs w:val="24"/>
              </w:rPr>
              <w:t xml:space="preserve">w roku 2019 wyniosą </w:t>
            </w:r>
            <w:r w:rsidR="00E61AA3" w:rsidRPr="00052A6C">
              <w:rPr>
                <w:rFonts w:ascii="Times New Roman" w:hAnsi="Times New Roman" w:cs="Times New Roman"/>
                <w:sz w:val="24"/>
                <w:szCs w:val="24"/>
              </w:rPr>
              <w:t>2</w:t>
            </w:r>
            <w:r w:rsidR="00C93092" w:rsidRPr="00052A6C">
              <w:rPr>
                <w:rFonts w:ascii="Times New Roman" w:hAnsi="Times New Roman" w:cs="Times New Roman"/>
                <w:sz w:val="24"/>
                <w:szCs w:val="24"/>
              </w:rPr>
              <w:t>,</w:t>
            </w:r>
            <w:r w:rsidR="00E61AA3" w:rsidRPr="00052A6C">
              <w:rPr>
                <w:rFonts w:ascii="Times New Roman" w:hAnsi="Times New Roman" w:cs="Times New Roman"/>
                <w:sz w:val="24"/>
                <w:szCs w:val="24"/>
              </w:rPr>
              <w:t xml:space="preserve">7 </w:t>
            </w:r>
            <w:r w:rsidR="00C93092" w:rsidRPr="00052A6C">
              <w:rPr>
                <w:rFonts w:ascii="Times New Roman" w:hAnsi="Times New Roman" w:cs="Times New Roman"/>
                <w:sz w:val="24"/>
                <w:szCs w:val="24"/>
              </w:rPr>
              <w:t xml:space="preserve">mln zł, w 2020 roku </w:t>
            </w:r>
            <w:r w:rsidR="00E61AA3" w:rsidRPr="00052A6C">
              <w:rPr>
                <w:rFonts w:ascii="Times New Roman" w:hAnsi="Times New Roman" w:cs="Times New Roman"/>
                <w:sz w:val="24"/>
                <w:szCs w:val="24"/>
              </w:rPr>
              <w:t>4</w:t>
            </w:r>
            <w:r w:rsidR="00C93092" w:rsidRPr="00052A6C">
              <w:rPr>
                <w:rFonts w:ascii="Times New Roman" w:hAnsi="Times New Roman" w:cs="Times New Roman"/>
                <w:sz w:val="24"/>
                <w:szCs w:val="24"/>
              </w:rPr>
              <w:t>,</w:t>
            </w:r>
            <w:r w:rsidR="00E61AA3" w:rsidRPr="00052A6C">
              <w:rPr>
                <w:rFonts w:ascii="Times New Roman" w:hAnsi="Times New Roman" w:cs="Times New Roman"/>
                <w:sz w:val="24"/>
                <w:szCs w:val="24"/>
              </w:rPr>
              <w:t xml:space="preserve">63 </w:t>
            </w:r>
            <w:r w:rsidR="00C93092" w:rsidRPr="00052A6C">
              <w:rPr>
                <w:rFonts w:ascii="Times New Roman" w:hAnsi="Times New Roman" w:cs="Times New Roman"/>
                <w:sz w:val="24"/>
                <w:szCs w:val="24"/>
              </w:rPr>
              <w:t>mln zł, w 2021 roku 0,</w:t>
            </w:r>
            <w:r w:rsidR="00E61AA3" w:rsidRPr="00052A6C">
              <w:rPr>
                <w:rFonts w:ascii="Times New Roman" w:hAnsi="Times New Roman" w:cs="Times New Roman"/>
                <w:sz w:val="24"/>
                <w:szCs w:val="24"/>
              </w:rPr>
              <w:t xml:space="preserve">82 </w:t>
            </w:r>
            <w:r w:rsidR="00C93092" w:rsidRPr="00052A6C">
              <w:rPr>
                <w:rFonts w:ascii="Times New Roman" w:hAnsi="Times New Roman" w:cs="Times New Roman"/>
                <w:sz w:val="24"/>
                <w:szCs w:val="24"/>
              </w:rPr>
              <w:t>mln zł.</w:t>
            </w:r>
          </w:p>
          <w:p w14:paraId="7975C92D" w14:textId="77777777" w:rsidR="000039D2" w:rsidRPr="00052A6C" w:rsidRDefault="003A6F7A" w:rsidP="00277F6C">
            <w:pPr>
              <w:pStyle w:val="Akapitzlist"/>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kosztach wdrożenia nie jest przewidziany koszt ewentualnego dostosowania systemów teleinformatycznych</w:t>
            </w:r>
            <w:r w:rsidR="009626B7" w:rsidRPr="00052A6C">
              <w:rPr>
                <w:rFonts w:ascii="Times New Roman" w:hAnsi="Times New Roman" w:cs="Times New Roman"/>
                <w:sz w:val="24"/>
                <w:szCs w:val="24"/>
              </w:rPr>
              <w:t xml:space="preserve"> operatora wyznaczonego</w:t>
            </w:r>
            <w:r w:rsidRPr="00052A6C">
              <w:rPr>
                <w:rFonts w:ascii="Times New Roman" w:hAnsi="Times New Roman" w:cs="Times New Roman"/>
                <w:sz w:val="24"/>
                <w:szCs w:val="24"/>
              </w:rPr>
              <w:t xml:space="preserve"> i zakupu lub modyfikacji infrastruktury</w:t>
            </w:r>
            <w:r w:rsidR="009626B7" w:rsidRPr="00052A6C">
              <w:rPr>
                <w:rFonts w:ascii="Times New Roman" w:hAnsi="Times New Roman" w:cs="Times New Roman"/>
                <w:sz w:val="24"/>
                <w:szCs w:val="24"/>
              </w:rPr>
              <w:t xml:space="preserve"> operatora wyznaczonego</w:t>
            </w:r>
            <w:r w:rsidRPr="00052A6C">
              <w:rPr>
                <w:rFonts w:ascii="Times New Roman" w:hAnsi="Times New Roman" w:cs="Times New Roman"/>
                <w:sz w:val="24"/>
                <w:szCs w:val="24"/>
              </w:rPr>
              <w:t xml:space="preserve"> niezbędnej do świadczenia </w:t>
            </w:r>
            <w:r w:rsidR="009626B7" w:rsidRPr="00052A6C">
              <w:rPr>
                <w:rFonts w:ascii="Times New Roman" w:hAnsi="Times New Roman" w:cs="Times New Roman"/>
                <w:sz w:val="24"/>
                <w:szCs w:val="24"/>
              </w:rPr>
              <w:t>publicznej usługi rejestrowanego doręczenia elektronicznego i publicznej usługi hybrydowej.</w:t>
            </w:r>
            <w:r w:rsidRPr="00052A6C">
              <w:rPr>
                <w:rFonts w:ascii="Times New Roman" w:hAnsi="Times New Roman" w:cs="Times New Roman"/>
                <w:sz w:val="24"/>
                <w:szCs w:val="24"/>
              </w:rPr>
              <w:t xml:space="preserve"> </w:t>
            </w:r>
          </w:p>
          <w:p w14:paraId="0C7B2E11" w14:textId="36B3B76A" w:rsidR="003A6F7A" w:rsidRPr="00052A6C" w:rsidRDefault="003A6F7A"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Zakłada się</w:t>
            </w:r>
            <w:r w:rsidR="009626B7"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że </w:t>
            </w:r>
            <w:r w:rsidR="00C93092" w:rsidRPr="00052A6C">
              <w:rPr>
                <w:rFonts w:ascii="Times New Roman" w:hAnsi="Times New Roman" w:cs="Times New Roman"/>
                <w:sz w:val="24"/>
                <w:szCs w:val="24"/>
              </w:rPr>
              <w:t xml:space="preserve">ten </w:t>
            </w:r>
            <w:r w:rsidRPr="00052A6C">
              <w:rPr>
                <w:rFonts w:ascii="Times New Roman" w:hAnsi="Times New Roman" w:cs="Times New Roman"/>
                <w:sz w:val="24"/>
                <w:szCs w:val="24"/>
              </w:rPr>
              <w:t xml:space="preserve">koszt będzie poniesiony przez </w:t>
            </w:r>
            <w:r w:rsidR="009626B7" w:rsidRPr="00052A6C">
              <w:rPr>
                <w:rFonts w:ascii="Times New Roman" w:hAnsi="Times New Roman" w:cs="Times New Roman"/>
                <w:sz w:val="24"/>
                <w:szCs w:val="24"/>
              </w:rPr>
              <w:t>operatora wyznaczonego</w:t>
            </w:r>
            <w:r w:rsidR="006468D9" w:rsidRPr="00052A6C">
              <w:rPr>
                <w:rFonts w:ascii="Times New Roman" w:hAnsi="Times New Roman" w:cs="Times New Roman"/>
                <w:sz w:val="24"/>
                <w:szCs w:val="24"/>
              </w:rPr>
              <w:t>, a pokrywany</w:t>
            </w:r>
            <w:r w:rsidR="00563A86"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 xml:space="preserve">będzie </w:t>
            </w:r>
            <w:r w:rsidR="00563A86" w:rsidRPr="00052A6C">
              <w:rPr>
                <w:rFonts w:ascii="Times New Roman" w:hAnsi="Times New Roman" w:cs="Times New Roman"/>
                <w:sz w:val="24"/>
                <w:szCs w:val="24"/>
              </w:rPr>
              <w:t>z opłat pobieranych za świadczenie usługi e</w:t>
            </w:r>
            <w:r w:rsidR="00BE1663" w:rsidRPr="00052A6C">
              <w:rPr>
                <w:rFonts w:ascii="Times New Roman" w:hAnsi="Times New Roman" w:cs="Times New Roman"/>
                <w:sz w:val="24"/>
                <w:szCs w:val="24"/>
              </w:rPr>
              <w:t>-</w:t>
            </w:r>
            <w:r w:rsidR="00563A86" w:rsidRPr="00052A6C">
              <w:rPr>
                <w:rFonts w:ascii="Times New Roman" w:hAnsi="Times New Roman" w:cs="Times New Roman"/>
                <w:sz w:val="24"/>
                <w:szCs w:val="24"/>
              </w:rPr>
              <w:t xml:space="preserve">Doręczenia w powiązaniu z </w:t>
            </w:r>
            <w:r w:rsidR="00BE1663" w:rsidRPr="00052A6C">
              <w:rPr>
                <w:rFonts w:ascii="Times New Roman" w:hAnsi="Times New Roman" w:cs="Times New Roman"/>
                <w:sz w:val="24"/>
                <w:szCs w:val="24"/>
              </w:rPr>
              <w:t>publiczną usługą</w:t>
            </w:r>
            <w:r w:rsidR="00563A86" w:rsidRPr="00052A6C">
              <w:rPr>
                <w:rFonts w:ascii="Times New Roman" w:hAnsi="Times New Roman" w:cs="Times New Roman"/>
                <w:sz w:val="24"/>
                <w:szCs w:val="24"/>
              </w:rPr>
              <w:t xml:space="preserve"> hybrydową</w:t>
            </w:r>
            <w:r w:rsidR="009626B7" w:rsidRPr="00052A6C">
              <w:rPr>
                <w:rFonts w:ascii="Times New Roman" w:hAnsi="Times New Roman" w:cs="Times New Roman"/>
                <w:sz w:val="24"/>
                <w:szCs w:val="24"/>
              </w:rPr>
              <w:t>.</w:t>
            </w:r>
          </w:p>
          <w:p w14:paraId="45F873D6" w14:textId="77777777" w:rsidR="003A6F7A" w:rsidRPr="00052A6C" w:rsidRDefault="003A6F7A" w:rsidP="00277F6C">
            <w:pPr>
              <w:pStyle w:val="Akapitzlist"/>
              <w:numPr>
                <w:ilvl w:val="0"/>
                <w:numId w:val="6"/>
              </w:numPr>
              <w:spacing w:after="120"/>
              <w:ind w:left="346" w:hanging="283"/>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 xml:space="preserve">Koszt </w:t>
            </w:r>
            <w:r w:rsidR="00E61AA3" w:rsidRPr="00052A6C">
              <w:rPr>
                <w:rFonts w:ascii="Times New Roman" w:hAnsi="Times New Roman" w:cs="Times New Roman"/>
                <w:sz w:val="24"/>
                <w:szCs w:val="24"/>
                <w:u w:val="single"/>
              </w:rPr>
              <w:t>stabilizacji rozwiązania w okresie pilotażu oraz utrzymania w okresie 0-10 lat</w:t>
            </w:r>
            <w:r w:rsidR="00F618E6" w:rsidRPr="00052A6C">
              <w:rPr>
                <w:rFonts w:ascii="Times New Roman" w:hAnsi="Times New Roman" w:cs="Times New Roman"/>
                <w:sz w:val="24"/>
                <w:szCs w:val="24"/>
                <w:u w:val="single"/>
              </w:rPr>
              <w:t>– cz. 27-Informatyzacja</w:t>
            </w:r>
          </w:p>
          <w:p w14:paraId="6780AC49" w14:textId="77777777" w:rsidR="003A6F7A" w:rsidRPr="00052A6C" w:rsidRDefault="003A6F7A"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Obecnie w systemie ePUAP funkcjonuje ok. 40 tys. skrzynek ESP i ok. </w:t>
            </w:r>
            <w:r w:rsidR="00A53294" w:rsidRPr="00052A6C">
              <w:rPr>
                <w:rFonts w:ascii="Times New Roman" w:hAnsi="Times New Roman" w:cs="Times New Roman"/>
                <w:sz w:val="24"/>
                <w:szCs w:val="24"/>
              </w:rPr>
              <w:t>2,5</w:t>
            </w:r>
            <w:r w:rsidRPr="00052A6C">
              <w:rPr>
                <w:rFonts w:ascii="Times New Roman" w:hAnsi="Times New Roman" w:cs="Times New Roman"/>
                <w:sz w:val="24"/>
                <w:szCs w:val="24"/>
              </w:rPr>
              <w:t xml:space="preserve"> mln kont obywateli</w:t>
            </w:r>
            <w:r w:rsidR="003E5246" w:rsidRPr="00052A6C">
              <w:rPr>
                <w:rFonts w:ascii="Times New Roman" w:hAnsi="Times New Roman" w:cs="Times New Roman"/>
                <w:sz w:val="24"/>
                <w:szCs w:val="24"/>
              </w:rPr>
              <w:t xml:space="preserve"> posiadających profil zaufany</w:t>
            </w:r>
            <w:r w:rsidR="0095337F" w:rsidRPr="00052A6C">
              <w:rPr>
                <w:rFonts w:ascii="Times New Roman" w:hAnsi="Times New Roman" w:cs="Times New Roman"/>
                <w:sz w:val="24"/>
                <w:szCs w:val="24"/>
              </w:rPr>
              <w:t xml:space="preserve"> co oznacza, że co najmniej tyle jest potencjalnych użytkowników skrzynek na ePUAP umożliwiających doręczenia elektroniczne</w:t>
            </w:r>
            <w:r w:rsidRPr="00052A6C">
              <w:rPr>
                <w:rFonts w:ascii="Times New Roman" w:hAnsi="Times New Roman" w:cs="Times New Roman"/>
                <w:sz w:val="24"/>
                <w:szCs w:val="24"/>
              </w:rPr>
              <w:t>. Na skutek wejścia w życie ustawy zostanie rozszerzona lista podmiotów publicznych zobowiązanych do posiadania skrzynek ESP (poprzez zmianę definicji podmiotu publicznego – w rozumieniu ustawy o informatyzacji podmiotów realizujących zadania publiczne). Zakłada się także, iż liczba skrzynek ESD</w:t>
            </w:r>
            <w:r w:rsidR="00A53294" w:rsidRPr="00052A6C">
              <w:rPr>
                <w:rFonts w:ascii="Times New Roman" w:hAnsi="Times New Roman" w:cs="Times New Roman"/>
                <w:sz w:val="24"/>
                <w:szCs w:val="24"/>
              </w:rPr>
              <w:t xml:space="preserve"> będzie większa niż obecna liczba</w:t>
            </w:r>
            <w:r w:rsidR="0095337F" w:rsidRPr="00052A6C">
              <w:rPr>
                <w:rFonts w:ascii="Times New Roman" w:hAnsi="Times New Roman" w:cs="Times New Roman"/>
                <w:sz w:val="24"/>
                <w:szCs w:val="24"/>
              </w:rPr>
              <w:t xml:space="preserve"> skrzynek na ePUAP a przede wszystkim ich wykorzystanie będzie większe ze względu na skuteczność doręczenia i ergonomię rozwiązania</w:t>
            </w:r>
            <w:r w:rsidRPr="00052A6C">
              <w:rPr>
                <w:rFonts w:ascii="Times New Roman" w:hAnsi="Times New Roman" w:cs="Times New Roman"/>
                <w:sz w:val="24"/>
                <w:szCs w:val="24"/>
              </w:rPr>
              <w:t xml:space="preserve">. </w:t>
            </w:r>
            <w:r w:rsidR="0095337F" w:rsidRPr="00052A6C">
              <w:rPr>
                <w:rFonts w:ascii="Times New Roman" w:hAnsi="Times New Roman" w:cs="Times New Roman"/>
                <w:sz w:val="24"/>
                <w:szCs w:val="24"/>
              </w:rPr>
              <w:t>N</w:t>
            </w:r>
            <w:r w:rsidRPr="00052A6C">
              <w:rPr>
                <w:rFonts w:ascii="Times New Roman" w:hAnsi="Times New Roman" w:cs="Times New Roman"/>
                <w:sz w:val="24"/>
                <w:szCs w:val="24"/>
              </w:rPr>
              <w:t xml:space="preserve">ależy się </w:t>
            </w:r>
            <w:r w:rsidR="0095337F" w:rsidRPr="00052A6C">
              <w:rPr>
                <w:rFonts w:ascii="Times New Roman" w:hAnsi="Times New Roman" w:cs="Times New Roman"/>
                <w:sz w:val="24"/>
                <w:szCs w:val="24"/>
              </w:rPr>
              <w:t xml:space="preserve">zatem </w:t>
            </w:r>
            <w:r w:rsidRPr="00052A6C">
              <w:rPr>
                <w:rFonts w:ascii="Times New Roman" w:hAnsi="Times New Roman" w:cs="Times New Roman"/>
                <w:sz w:val="24"/>
                <w:szCs w:val="24"/>
              </w:rPr>
              <w:t xml:space="preserve">spodziewać, że w stosunku do stanu obecnego, zwiększy się wolumen </w:t>
            </w:r>
            <w:r w:rsidRPr="00052A6C">
              <w:rPr>
                <w:rFonts w:ascii="Times New Roman" w:hAnsi="Times New Roman" w:cs="Times New Roman"/>
                <w:sz w:val="24"/>
                <w:szCs w:val="24"/>
              </w:rPr>
              <w:lastRenderedPageBreak/>
              <w:t xml:space="preserve">korespondencji przesyłanej i gromadzonej w elektronicznych skrzynkach. </w:t>
            </w:r>
          </w:p>
          <w:p w14:paraId="4E5E5AAA" w14:textId="77777777" w:rsidR="003A6F7A" w:rsidRPr="00052A6C" w:rsidRDefault="00C93092"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Koszty </w:t>
            </w:r>
            <w:r w:rsidR="005F0E8C" w:rsidRPr="00052A6C">
              <w:rPr>
                <w:rFonts w:ascii="Times New Roman" w:hAnsi="Times New Roman" w:cs="Times New Roman"/>
                <w:sz w:val="24"/>
                <w:szCs w:val="24"/>
              </w:rPr>
              <w:t xml:space="preserve">stabilizacji rozwiązania w okresie pilotażu oraz </w:t>
            </w:r>
            <w:r w:rsidRPr="00052A6C">
              <w:rPr>
                <w:rFonts w:ascii="Times New Roman" w:hAnsi="Times New Roman" w:cs="Times New Roman"/>
                <w:sz w:val="24"/>
                <w:szCs w:val="24"/>
              </w:rPr>
              <w:t xml:space="preserve">utrzymania </w:t>
            </w:r>
            <w:r w:rsidR="00C93623" w:rsidRPr="00052A6C">
              <w:rPr>
                <w:rFonts w:ascii="Times New Roman" w:hAnsi="Times New Roman" w:cs="Times New Roman"/>
                <w:sz w:val="24"/>
                <w:szCs w:val="24"/>
              </w:rPr>
              <w:t>wyniesie</w:t>
            </w:r>
            <w:r w:rsidR="002A279F" w:rsidRPr="00052A6C">
              <w:rPr>
                <w:rFonts w:ascii="Times New Roman" w:hAnsi="Times New Roman" w:cs="Times New Roman"/>
                <w:sz w:val="24"/>
                <w:szCs w:val="24"/>
              </w:rPr>
              <w:t>:</w:t>
            </w:r>
            <w:r w:rsidRPr="00052A6C">
              <w:rPr>
                <w:rFonts w:ascii="Times New Roman" w:hAnsi="Times New Roman" w:cs="Times New Roman"/>
                <w:sz w:val="24"/>
                <w:szCs w:val="24"/>
              </w:rPr>
              <w:t xml:space="preserve"> w roku 2019 </w:t>
            </w:r>
            <w:r w:rsidR="005F0E8C" w:rsidRPr="00052A6C">
              <w:rPr>
                <w:rFonts w:ascii="Times New Roman" w:hAnsi="Times New Roman" w:cs="Times New Roman"/>
                <w:sz w:val="24"/>
                <w:szCs w:val="24"/>
              </w:rPr>
              <w:t>0,22</w:t>
            </w:r>
            <w:r w:rsidRPr="00052A6C">
              <w:rPr>
                <w:rFonts w:ascii="Times New Roman" w:hAnsi="Times New Roman" w:cs="Times New Roman"/>
                <w:sz w:val="24"/>
                <w:szCs w:val="24"/>
              </w:rPr>
              <w:t xml:space="preserve"> mln zł, w roku 2020 </w:t>
            </w:r>
            <w:r w:rsidR="005F0E8C" w:rsidRPr="00052A6C">
              <w:rPr>
                <w:rFonts w:ascii="Times New Roman" w:hAnsi="Times New Roman" w:cs="Times New Roman"/>
                <w:sz w:val="24"/>
                <w:szCs w:val="24"/>
              </w:rPr>
              <w:t>1,63</w:t>
            </w:r>
            <w:r w:rsidRPr="00052A6C">
              <w:rPr>
                <w:rFonts w:ascii="Times New Roman" w:hAnsi="Times New Roman" w:cs="Times New Roman"/>
                <w:sz w:val="24"/>
                <w:szCs w:val="24"/>
              </w:rPr>
              <w:t xml:space="preserve"> mln zł, w roku 2021 </w:t>
            </w:r>
            <w:r w:rsidR="005F0E8C" w:rsidRPr="00052A6C">
              <w:rPr>
                <w:rFonts w:ascii="Times New Roman" w:hAnsi="Times New Roman" w:cs="Times New Roman"/>
                <w:sz w:val="24"/>
                <w:szCs w:val="24"/>
              </w:rPr>
              <w:t>2,16</w:t>
            </w:r>
            <w:r w:rsidRPr="00052A6C">
              <w:rPr>
                <w:rFonts w:ascii="Times New Roman" w:hAnsi="Times New Roman" w:cs="Times New Roman"/>
                <w:sz w:val="24"/>
                <w:szCs w:val="24"/>
              </w:rPr>
              <w:t xml:space="preserve"> mln zł, 2022 roku </w:t>
            </w:r>
            <w:r w:rsidR="005F0E8C" w:rsidRPr="00052A6C">
              <w:rPr>
                <w:rFonts w:ascii="Times New Roman" w:hAnsi="Times New Roman" w:cs="Times New Roman"/>
                <w:sz w:val="24"/>
                <w:szCs w:val="24"/>
              </w:rPr>
              <w:t>12</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68 </w:t>
            </w:r>
            <w:r w:rsidRPr="00052A6C">
              <w:rPr>
                <w:rFonts w:ascii="Times New Roman" w:hAnsi="Times New Roman" w:cs="Times New Roman"/>
                <w:sz w:val="24"/>
                <w:szCs w:val="24"/>
              </w:rPr>
              <w:t xml:space="preserve">mln zł, 2023 roku </w:t>
            </w:r>
            <w:r w:rsidR="005F0E8C" w:rsidRPr="00052A6C">
              <w:rPr>
                <w:rFonts w:ascii="Times New Roman" w:hAnsi="Times New Roman" w:cs="Times New Roman"/>
                <w:sz w:val="24"/>
                <w:szCs w:val="24"/>
              </w:rPr>
              <w:t>12</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85 </w:t>
            </w:r>
            <w:r w:rsidRPr="00052A6C">
              <w:rPr>
                <w:rFonts w:ascii="Times New Roman" w:hAnsi="Times New Roman" w:cs="Times New Roman"/>
                <w:sz w:val="24"/>
                <w:szCs w:val="24"/>
              </w:rPr>
              <w:t xml:space="preserve">mln zł, 2024 roku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01 </w:t>
            </w:r>
            <w:r w:rsidRPr="00052A6C">
              <w:rPr>
                <w:rFonts w:ascii="Times New Roman" w:hAnsi="Times New Roman" w:cs="Times New Roman"/>
                <w:sz w:val="24"/>
                <w:szCs w:val="24"/>
              </w:rPr>
              <w:t xml:space="preserve">mln zł, 2025 </w:t>
            </w:r>
            <w:r w:rsidR="006C4A10" w:rsidRPr="00052A6C">
              <w:rPr>
                <w:rFonts w:ascii="Times New Roman" w:hAnsi="Times New Roman" w:cs="Times New Roman"/>
                <w:sz w:val="24"/>
                <w:szCs w:val="24"/>
              </w:rPr>
              <w:t xml:space="preserve">roku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16 </w:t>
            </w:r>
            <w:r w:rsidRPr="00052A6C">
              <w:rPr>
                <w:rFonts w:ascii="Times New Roman" w:hAnsi="Times New Roman" w:cs="Times New Roman"/>
                <w:sz w:val="24"/>
                <w:szCs w:val="24"/>
              </w:rPr>
              <w:t>mln zł, 2026</w:t>
            </w:r>
            <w:r w:rsidR="006C4A10" w:rsidRPr="00052A6C">
              <w:rPr>
                <w:rFonts w:ascii="Times New Roman" w:hAnsi="Times New Roman" w:cs="Times New Roman"/>
                <w:sz w:val="24"/>
                <w:szCs w:val="24"/>
              </w:rPr>
              <w:t xml:space="preserve"> roku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31 </w:t>
            </w:r>
            <w:r w:rsidRPr="00052A6C">
              <w:rPr>
                <w:rFonts w:ascii="Times New Roman" w:hAnsi="Times New Roman" w:cs="Times New Roman"/>
                <w:sz w:val="24"/>
                <w:szCs w:val="24"/>
              </w:rPr>
              <w:t>mln zł, 2027</w:t>
            </w:r>
            <w:r w:rsidR="006C4A10" w:rsidRPr="00052A6C">
              <w:rPr>
                <w:rFonts w:ascii="Times New Roman" w:hAnsi="Times New Roman" w:cs="Times New Roman"/>
                <w:sz w:val="24"/>
                <w:szCs w:val="24"/>
              </w:rPr>
              <w:t xml:space="preserve"> roku</w:t>
            </w:r>
            <w:r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46 </w:t>
            </w:r>
            <w:r w:rsidRPr="00052A6C">
              <w:rPr>
                <w:rFonts w:ascii="Times New Roman" w:hAnsi="Times New Roman" w:cs="Times New Roman"/>
                <w:sz w:val="24"/>
                <w:szCs w:val="24"/>
              </w:rPr>
              <w:t>mln zł, 2028</w:t>
            </w:r>
            <w:r w:rsidR="006C4A10" w:rsidRPr="00052A6C">
              <w:rPr>
                <w:rFonts w:ascii="Times New Roman" w:hAnsi="Times New Roman" w:cs="Times New Roman"/>
                <w:sz w:val="24"/>
                <w:szCs w:val="24"/>
              </w:rPr>
              <w:t xml:space="preserve"> roku</w:t>
            </w:r>
            <w:r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13</w:t>
            </w:r>
            <w:r w:rsidRPr="00052A6C">
              <w:rPr>
                <w:rFonts w:ascii="Times New Roman" w:hAnsi="Times New Roman" w:cs="Times New Roman"/>
                <w:sz w:val="24"/>
                <w:szCs w:val="24"/>
              </w:rPr>
              <w:t>,</w:t>
            </w:r>
            <w:r w:rsidR="005F0E8C" w:rsidRPr="00052A6C">
              <w:rPr>
                <w:rFonts w:ascii="Times New Roman" w:hAnsi="Times New Roman" w:cs="Times New Roman"/>
                <w:sz w:val="24"/>
                <w:szCs w:val="24"/>
              </w:rPr>
              <w:t xml:space="preserve">6 </w:t>
            </w:r>
            <w:r w:rsidRPr="00052A6C">
              <w:rPr>
                <w:rFonts w:ascii="Times New Roman" w:hAnsi="Times New Roman" w:cs="Times New Roman"/>
                <w:sz w:val="24"/>
                <w:szCs w:val="24"/>
              </w:rPr>
              <w:t>mln zł, 2029</w:t>
            </w:r>
            <w:r w:rsidR="006C4A10" w:rsidRPr="00052A6C">
              <w:rPr>
                <w:rFonts w:ascii="Times New Roman" w:hAnsi="Times New Roman" w:cs="Times New Roman"/>
                <w:sz w:val="24"/>
                <w:szCs w:val="24"/>
              </w:rPr>
              <w:t xml:space="preserve"> roku</w:t>
            </w:r>
            <w:r w:rsidRPr="00052A6C">
              <w:rPr>
                <w:rFonts w:ascii="Times New Roman" w:hAnsi="Times New Roman" w:cs="Times New Roman"/>
                <w:sz w:val="24"/>
                <w:szCs w:val="24"/>
              </w:rPr>
              <w:t xml:space="preserve"> </w:t>
            </w:r>
            <w:r w:rsidR="005F0E8C" w:rsidRPr="00052A6C">
              <w:rPr>
                <w:rFonts w:ascii="Times New Roman" w:hAnsi="Times New Roman" w:cs="Times New Roman"/>
                <w:sz w:val="24"/>
                <w:szCs w:val="24"/>
              </w:rPr>
              <w:t xml:space="preserve">13,73 </w:t>
            </w:r>
            <w:r w:rsidRPr="00052A6C">
              <w:rPr>
                <w:rFonts w:ascii="Times New Roman" w:hAnsi="Times New Roman" w:cs="Times New Roman"/>
                <w:sz w:val="24"/>
                <w:szCs w:val="24"/>
              </w:rPr>
              <w:t>mln zł</w:t>
            </w:r>
            <w:r w:rsidR="009D4362" w:rsidRPr="00052A6C">
              <w:rPr>
                <w:rStyle w:val="Odwoanieprzypisudolnego"/>
                <w:rFonts w:ascii="Times New Roman" w:hAnsi="Times New Roman" w:cs="Times New Roman"/>
                <w:sz w:val="24"/>
                <w:szCs w:val="24"/>
              </w:rPr>
              <w:footnoteReference w:id="16"/>
            </w:r>
            <w:r w:rsidRPr="00052A6C">
              <w:rPr>
                <w:rFonts w:ascii="Times New Roman" w:hAnsi="Times New Roman" w:cs="Times New Roman"/>
                <w:sz w:val="24"/>
                <w:szCs w:val="24"/>
              </w:rPr>
              <w:t>.</w:t>
            </w:r>
          </w:p>
          <w:p w14:paraId="14C9060D" w14:textId="77777777" w:rsidR="005D12C5" w:rsidRPr="00052A6C" w:rsidRDefault="005F0E8C" w:rsidP="00277F6C">
            <w:pPr>
              <w:pStyle w:val="Akapitzlist"/>
              <w:spacing w:after="120"/>
              <w:ind w:left="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kosztach stabilizacji i utrzymania rozwiązania nie jest przewidziany koszt ewentualnego utrzymania systemów teleinformatycznych operatora wyznaczonego. Zakłada się, że ten koszt będzie poniesiony przez operatora wyznaczonego, a pokrywany będzie z opłat pobieranych za świadczenie usługi e-Doręczenia w powiązaniu z publiczną usługą hybrydową.</w:t>
            </w:r>
          </w:p>
          <w:p w14:paraId="7EF9CF79" w14:textId="77777777" w:rsidR="003A6F7A" w:rsidRPr="00052A6C" w:rsidRDefault="003A6F7A" w:rsidP="00277F6C">
            <w:pPr>
              <w:pStyle w:val="Akapitzlist"/>
              <w:numPr>
                <w:ilvl w:val="0"/>
                <w:numId w:val="6"/>
              </w:numPr>
              <w:spacing w:after="120"/>
              <w:ind w:left="346" w:hanging="283"/>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 xml:space="preserve">Wybór </w:t>
            </w:r>
            <w:r w:rsidR="00D76F13" w:rsidRPr="00052A6C">
              <w:rPr>
                <w:rFonts w:ascii="Times New Roman" w:hAnsi="Times New Roman" w:cs="Times New Roman"/>
                <w:sz w:val="24"/>
                <w:szCs w:val="24"/>
                <w:u w:val="single"/>
              </w:rPr>
              <w:t>operatora wyznaczonego</w:t>
            </w:r>
            <w:r w:rsidR="00F618E6" w:rsidRPr="00052A6C">
              <w:rPr>
                <w:rFonts w:ascii="Times New Roman" w:hAnsi="Times New Roman" w:cs="Times New Roman"/>
                <w:sz w:val="24"/>
                <w:szCs w:val="24"/>
                <w:u w:val="single"/>
              </w:rPr>
              <w:t xml:space="preserve"> – cz. 76 – Urząd Komunikacji Elektronicznej</w:t>
            </w:r>
          </w:p>
          <w:p w14:paraId="50996259" w14:textId="3B9A5FDE"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 xml:space="preserve">Wybór </w:t>
            </w:r>
            <w:r w:rsidR="00D76F13" w:rsidRPr="00052A6C">
              <w:rPr>
                <w:rFonts w:ascii="Times New Roman" w:hAnsi="Times New Roman" w:cs="Times New Roman"/>
                <w:sz w:val="24"/>
                <w:szCs w:val="24"/>
              </w:rPr>
              <w:t>operatora wyznaczonego</w:t>
            </w:r>
            <w:r w:rsidRPr="00052A6C">
              <w:rPr>
                <w:rFonts w:ascii="Times New Roman" w:hAnsi="Times New Roman" w:cs="Times New Roman"/>
                <w:sz w:val="24"/>
                <w:szCs w:val="24"/>
              </w:rPr>
              <w:t xml:space="preserve"> </w:t>
            </w:r>
            <w:r w:rsidR="00D76F13" w:rsidRPr="00052A6C">
              <w:rPr>
                <w:rFonts w:ascii="Times New Roman" w:hAnsi="Times New Roman" w:cs="Times New Roman"/>
                <w:sz w:val="24"/>
                <w:szCs w:val="24"/>
              </w:rPr>
              <w:t xml:space="preserve">do świadczenia publicznej usługi rejestrowanego doręczenia elektronicznego oraz publicznej usługi hybrydowej </w:t>
            </w:r>
            <w:r w:rsidRPr="00052A6C">
              <w:rPr>
                <w:rFonts w:ascii="Times New Roman" w:hAnsi="Times New Roman" w:cs="Times New Roman"/>
                <w:sz w:val="24"/>
                <w:szCs w:val="24"/>
              </w:rPr>
              <w:t xml:space="preserve">wymaga zmiany procedur wyboru operatora wyznaczonego na </w:t>
            </w:r>
            <w:r w:rsidR="00C93092" w:rsidRPr="00052A6C">
              <w:rPr>
                <w:rFonts w:ascii="Times New Roman" w:hAnsi="Times New Roman" w:cs="Times New Roman"/>
                <w:sz w:val="24"/>
                <w:szCs w:val="24"/>
              </w:rPr>
              <w:t xml:space="preserve">rok </w:t>
            </w:r>
            <w:r w:rsidRPr="00052A6C">
              <w:rPr>
                <w:rFonts w:ascii="Times New Roman" w:hAnsi="Times New Roman" w:cs="Times New Roman"/>
                <w:sz w:val="24"/>
                <w:szCs w:val="24"/>
              </w:rPr>
              <w:t>2026 i</w:t>
            </w:r>
            <w:r w:rsidR="00C93092" w:rsidRPr="00052A6C">
              <w:rPr>
                <w:rFonts w:ascii="Times New Roman" w:hAnsi="Times New Roman" w:cs="Times New Roman"/>
                <w:sz w:val="24"/>
                <w:szCs w:val="24"/>
              </w:rPr>
              <w:t xml:space="preserve"> lata</w:t>
            </w:r>
            <w:r w:rsidRPr="00052A6C">
              <w:rPr>
                <w:rFonts w:ascii="Times New Roman" w:hAnsi="Times New Roman" w:cs="Times New Roman"/>
                <w:sz w:val="24"/>
                <w:szCs w:val="24"/>
              </w:rPr>
              <w:t xml:space="preserve"> następne (weryfikacja zdolności do pełnienia </w:t>
            </w:r>
            <w:r w:rsidR="00D76F13" w:rsidRPr="00052A6C">
              <w:rPr>
                <w:rFonts w:ascii="Times New Roman" w:hAnsi="Times New Roman" w:cs="Times New Roman"/>
                <w:sz w:val="24"/>
                <w:szCs w:val="24"/>
              </w:rPr>
              <w:t>tej roli</w:t>
            </w:r>
            <w:r w:rsidRPr="00052A6C">
              <w:rPr>
                <w:rFonts w:ascii="Times New Roman" w:hAnsi="Times New Roman" w:cs="Times New Roman"/>
                <w:sz w:val="24"/>
                <w:szCs w:val="24"/>
              </w:rPr>
              <w:t xml:space="preserve">) w trybie konkursu zgodnego z ustawą z dnia 23 listopada 2012 r. – Prawo pocztowe. Niezbędne będzie zaangażowanie podmiotów publicznych posiadających kompetencje oceny zdolności podmiotów biorących udział w konkursie zarówno w zakresie świadczenia </w:t>
            </w:r>
            <w:r w:rsidR="00E80E39" w:rsidRPr="00052A6C">
              <w:rPr>
                <w:rFonts w:ascii="Times New Roman" w:hAnsi="Times New Roman" w:cs="Times New Roman"/>
                <w:sz w:val="24"/>
                <w:szCs w:val="24"/>
              </w:rPr>
              <w:t xml:space="preserve">publicznej usługi rejestrowanego doręczenia elektronicznego, publicznej usługi hybrydowej </w:t>
            </w:r>
            <w:r w:rsidRPr="00052A6C">
              <w:rPr>
                <w:rFonts w:ascii="Times New Roman" w:hAnsi="Times New Roman" w:cs="Times New Roman"/>
                <w:sz w:val="24"/>
                <w:szCs w:val="24"/>
              </w:rPr>
              <w:t>jak i w zakresie doręczenia przesyłek pocztowych</w:t>
            </w:r>
            <w:r w:rsidR="00E80E39" w:rsidRPr="00052A6C">
              <w:rPr>
                <w:rFonts w:ascii="Times New Roman" w:hAnsi="Times New Roman" w:cs="Times New Roman"/>
                <w:sz w:val="24"/>
                <w:szCs w:val="24"/>
              </w:rPr>
              <w:t xml:space="preserve"> (usług powszechnych)</w:t>
            </w:r>
            <w:r w:rsidRPr="00052A6C">
              <w:rPr>
                <w:rFonts w:ascii="Times New Roman" w:hAnsi="Times New Roman" w:cs="Times New Roman"/>
                <w:sz w:val="24"/>
                <w:szCs w:val="24"/>
              </w:rPr>
              <w:t>.</w:t>
            </w:r>
          </w:p>
          <w:p w14:paraId="2A01145B" w14:textId="77777777" w:rsidR="008C7038"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Konieczne będzie powołanie interdyscyplinarnego zespołu ekspertów IT z zakresu cyfryzacji (2 etaty), informatyzacji (2 etaty)</w:t>
            </w:r>
            <w:r w:rsidR="00D76F13" w:rsidRPr="00052A6C">
              <w:rPr>
                <w:rFonts w:ascii="Times New Roman" w:hAnsi="Times New Roman" w:cs="Times New Roman"/>
                <w:sz w:val="24"/>
                <w:szCs w:val="24"/>
              </w:rPr>
              <w:t>,</w:t>
            </w:r>
            <w:r w:rsidRPr="00052A6C">
              <w:rPr>
                <w:rFonts w:ascii="Times New Roman" w:hAnsi="Times New Roman" w:cs="Times New Roman"/>
                <w:sz w:val="24"/>
                <w:szCs w:val="24"/>
              </w:rPr>
              <w:t xml:space="preserve"> specjalistów ekonomii (2 etaty)</w:t>
            </w:r>
            <w:r w:rsidR="00D76F13"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prawa </w:t>
            </w:r>
            <w:r w:rsidR="00D76F13"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w szczególności radców prawnych i legislatorów (4 etaty) i specjalistów bezpieczeństwa państwa (2 etaty) w celu opracowania dokumentacji konkursowej obejmującej wymagania dotyczące oferty podmiotu aplikującego o status wyznaczonego operatora cyfrowego (w tym kryteriów przystąpienia do konkursu i kryteriów wyboru). </w:t>
            </w:r>
          </w:p>
          <w:p w14:paraId="275EC0E2" w14:textId="0676A660"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Prace ww. zespołu powinny być wspierane przez pracowników niższego szczebla</w:t>
            </w:r>
            <w:r w:rsidR="002D4E36" w:rsidRPr="00052A6C">
              <w:rPr>
                <w:rFonts w:ascii="Times New Roman" w:hAnsi="Times New Roman" w:cs="Times New Roman"/>
                <w:sz w:val="24"/>
                <w:szCs w:val="24"/>
              </w:rPr>
              <w:t xml:space="preserve"> </w:t>
            </w:r>
            <w:r w:rsidR="00D76F13" w:rsidRPr="00052A6C">
              <w:rPr>
                <w:rFonts w:ascii="Times New Roman" w:hAnsi="Times New Roman" w:cs="Times New Roman"/>
                <w:sz w:val="24"/>
                <w:szCs w:val="24"/>
              </w:rPr>
              <w:t xml:space="preserve">(2 etaty) </w:t>
            </w:r>
            <w:r w:rsidRPr="00052A6C">
              <w:rPr>
                <w:rFonts w:ascii="Times New Roman" w:hAnsi="Times New Roman" w:cs="Times New Roman"/>
                <w:sz w:val="24"/>
                <w:szCs w:val="24"/>
              </w:rPr>
              <w:t>(np. specjalista) w zakresie m.in. technicznego opracowania dokumentacji.</w:t>
            </w:r>
          </w:p>
          <w:p w14:paraId="791A5BB1"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Średnie miesięczne wynagrodzenie brutto (wraz z pochodnymi) 1 eksperta (radca/konsultant) to od</w:t>
            </w:r>
            <w:r w:rsidR="002D4E36" w:rsidRPr="00052A6C">
              <w:rPr>
                <w:rFonts w:ascii="Times New Roman" w:hAnsi="Times New Roman" w:cs="Times New Roman"/>
                <w:sz w:val="24"/>
                <w:szCs w:val="24"/>
              </w:rPr>
              <w:t xml:space="preserve"> 7645,27 zł (razem z ZUS - 9146,80 zł) do</w:t>
            </w:r>
            <w:r w:rsidRPr="00052A6C">
              <w:rPr>
                <w:rFonts w:ascii="Times New Roman" w:hAnsi="Times New Roman" w:cs="Times New Roman"/>
                <w:sz w:val="24"/>
                <w:szCs w:val="24"/>
              </w:rPr>
              <w:t xml:space="preserve"> 8994,43 zł</w:t>
            </w:r>
            <w:r w:rsidR="002D4E36" w:rsidRPr="00052A6C">
              <w:rPr>
                <w:rFonts w:ascii="Times New Roman" w:hAnsi="Times New Roman" w:cs="Times New Roman"/>
                <w:sz w:val="24"/>
                <w:szCs w:val="24"/>
              </w:rPr>
              <w:t xml:space="preserve"> </w:t>
            </w:r>
            <w:r w:rsidRPr="00052A6C">
              <w:rPr>
                <w:rFonts w:ascii="Times New Roman" w:hAnsi="Times New Roman" w:cs="Times New Roman"/>
                <w:sz w:val="24"/>
                <w:szCs w:val="24"/>
              </w:rPr>
              <w:t>(razem z ZUS - 10760,94 zł)</w:t>
            </w:r>
            <w:r w:rsidR="002D4E36"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natomiast specjalisty </w:t>
            </w:r>
            <w:r w:rsidR="002D4E36" w:rsidRPr="00052A6C">
              <w:rPr>
                <w:rFonts w:ascii="Times New Roman" w:hAnsi="Times New Roman" w:cs="Times New Roman"/>
                <w:sz w:val="24"/>
                <w:szCs w:val="24"/>
              </w:rPr>
              <w:t xml:space="preserve">- </w:t>
            </w:r>
            <w:r w:rsidRPr="00052A6C">
              <w:rPr>
                <w:rFonts w:ascii="Times New Roman" w:hAnsi="Times New Roman" w:cs="Times New Roman"/>
                <w:sz w:val="24"/>
                <w:szCs w:val="24"/>
              </w:rPr>
              <w:t xml:space="preserve">4497,22 zł (razem z ZUS – 5380,47 zł). Przyjmuje się, że opracowanie dokumentacji konkursowej trwać będzie </w:t>
            </w:r>
            <w:r w:rsidRPr="00052A6C">
              <w:rPr>
                <w:rFonts w:ascii="Times New Roman" w:hAnsi="Times New Roman" w:cs="Times New Roman"/>
                <w:iCs/>
                <w:sz w:val="24"/>
                <w:szCs w:val="24"/>
              </w:rPr>
              <w:t xml:space="preserve">od 9 do 12 miesięcy. Jak wspomniano wyżej, zespół powinien być następnie zaangażowany w opracowywanie ewentualnych ogłoszeń dot. sprostowania oczywistych omyłek (w terminie od ogłoszenia konkursu do ostatecznego terminu złożenia ofert). Optymalnie termin na przygotowanie oferty nie powinien być krótszy niż </w:t>
            </w:r>
            <w:r w:rsidR="005D12C5" w:rsidRPr="00052A6C">
              <w:rPr>
                <w:rFonts w:ascii="Times New Roman" w:hAnsi="Times New Roman" w:cs="Times New Roman"/>
                <w:iCs/>
                <w:sz w:val="24"/>
                <w:szCs w:val="24"/>
              </w:rPr>
              <w:t>4</w:t>
            </w:r>
            <w:r w:rsidRPr="00052A6C">
              <w:rPr>
                <w:rFonts w:ascii="Times New Roman" w:hAnsi="Times New Roman" w:cs="Times New Roman"/>
                <w:iCs/>
                <w:sz w:val="24"/>
                <w:szCs w:val="24"/>
              </w:rPr>
              <w:t xml:space="preserve"> do 6 miesięcy.</w:t>
            </w:r>
          </w:p>
          <w:p w14:paraId="033C7AFC"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W związku ze znacznym skomplikowaniem zagadnień merytorycznych, nie wyklucza się konieczności przygotowania ekspertyzy zewnętrznej do doboru i opracowania założeń wyboru kryterium oceny oraz punktacji tego kryterium (koszt ekspertyzy</w:t>
            </w:r>
            <w:r w:rsidR="005D12C5" w:rsidRPr="00052A6C">
              <w:rPr>
                <w:rFonts w:ascii="Times New Roman" w:hAnsi="Times New Roman" w:cs="Times New Roman"/>
                <w:sz w:val="24"/>
                <w:szCs w:val="24"/>
              </w:rPr>
              <w:t xml:space="preserve"> - </w:t>
            </w:r>
            <w:r w:rsidR="00DB2EEC" w:rsidRPr="00052A6C">
              <w:rPr>
                <w:rFonts w:ascii="Times New Roman" w:hAnsi="Times New Roman" w:cs="Times New Roman"/>
                <w:sz w:val="24"/>
                <w:szCs w:val="24"/>
              </w:rPr>
              <w:t>0,</w:t>
            </w:r>
            <w:r w:rsidRPr="00052A6C">
              <w:rPr>
                <w:rFonts w:ascii="Times New Roman" w:hAnsi="Times New Roman" w:cs="Times New Roman"/>
                <w:sz w:val="24"/>
                <w:szCs w:val="24"/>
              </w:rPr>
              <w:t>25</w:t>
            </w:r>
            <w:r w:rsidR="00DB2EEC" w:rsidRPr="00052A6C">
              <w:rPr>
                <w:rFonts w:ascii="Times New Roman" w:hAnsi="Times New Roman" w:cs="Times New Roman"/>
                <w:sz w:val="24"/>
                <w:szCs w:val="24"/>
              </w:rPr>
              <w:t xml:space="preserve"> mln</w:t>
            </w:r>
            <w:r w:rsidRPr="00052A6C">
              <w:rPr>
                <w:rFonts w:ascii="Times New Roman" w:hAnsi="Times New Roman" w:cs="Times New Roman"/>
                <w:sz w:val="24"/>
                <w:szCs w:val="24"/>
              </w:rPr>
              <w:t xml:space="preserve"> zł</w:t>
            </w:r>
            <w:r w:rsidR="002D4E36" w:rsidRPr="00052A6C">
              <w:rPr>
                <w:rFonts w:ascii="Times New Roman" w:hAnsi="Times New Roman" w:cs="Times New Roman"/>
                <w:sz w:val="24"/>
                <w:szCs w:val="24"/>
              </w:rPr>
              <w:t xml:space="preserve"> -</w:t>
            </w:r>
            <w:r w:rsidR="00174A1E" w:rsidRPr="00052A6C">
              <w:rPr>
                <w:rFonts w:ascii="Times New Roman" w:hAnsi="Times New Roman" w:cs="Times New Roman"/>
                <w:sz w:val="24"/>
                <w:szCs w:val="24"/>
              </w:rPr>
              <w:t xml:space="preserve"> zostanie poniesiony w </w:t>
            </w:r>
            <w:r w:rsidR="006C4A10" w:rsidRPr="00052A6C">
              <w:rPr>
                <w:rFonts w:ascii="Times New Roman" w:hAnsi="Times New Roman" w:cs="Times New Roman"/>
                <w:sz w:val="24"/>
                <w:szCs w:val="24"/>
              </w:rPr>
              <w:t>2021 roku</w:t>
            </w:r>
            <w:r w:rsidRPr="00052A6C">
              <w:rPr>
                <w:rFonts w:ascii="Times New Roman" w:hAnsi="Times New Roman" w:cs="Times New Roman"/>
                <w:sz w:val="24"/>
                <w:szCs w:val="24"/>
              </w:rPr>
              <w:t>).</w:t>
            </w:r>
          </w:p>
          <w:p w14:paraId="4246B564"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Ponadto konieczne będzie powołanie Komisji konkursowej przez organ wskazany w ustawie do oceny podmiotów biorących udział w konkursie oraz wyboru</w:t>
            </w:r>
            <w:r w:rsidR="005D12C5" w:rsidRPr="00052A6C">
              <w:rPr>
                <w:rFonts w:ascii="Times New Roman" w:hAnsi="Times New Roman" w:cs="Times New Roman"/>
                <w:sz w:val="24"/>
                <w:szCs w:val="24"/>
              </w:rPr>
              <w:t xml:space="preserve"> operatora wyznaczonego</w:t>
            </w:r>
            <w:r w:rsidRPr="00052A6C">
              <w:rPr>
                <w:rFonts w:ascii="Times New Roman" w:hAnsi="Times New Roman" w:cs="Times New Roman"/>
                <w:sz w:val="24"/>
                <w:szCs w:val="24"/>
              </w:rPr>
              <w:t>. W prace Komisji konkursowej powinni być zaangażowani eksperci IT z zakresu cyfryzacji (2 etaty), informatyzacji (2 etaty) i specjaliści ekonomii (2 etaty)</w:t>
            </w:r>
            <w:r w:rsidR="002D4E36" w:rsidRPr="00052A6C">
              <w:rPr>
                <w:rFonts w:ascii="Times New Roman" w:hAnsi="Times New Roman" w:cs="Times New Roman"/>
                <w:sz w:val="24"/>
                <w:szCs w:val="24"/>
              </w:rPr>
              <w:t>,</w:t>
            </w:r>
            <w:r w:rsidRPr="00052A6C">
              <w:rPr>
                <w:rFonts w:ascii="Times New Roman" w:hAnsi="Times New Roman" w:cs="Times New Roman"/>
                <w:sz w:val="24"/>
                <w:szCs w:val="24"/>
              </w:rPr>
              <w:t xml:space="preserve"> prawa w szczególności radcy prawni i legislatorzy (4 etaty) i specjaliści bezpieczeństwa państwa (2 etaty), a także specjaliści wsparcia technicznego (2 etaty). Prace komisji </w:t>
            </w:r>
            <w:r w:rsidRPr="00052A6C">
              <w:rPr>
                <w:rFonts w:ascii="Times New Roman" w:hAnsi="Times New Roman" w:cs="Times New Roman"/>
                <w:sz w:val="24"/>
                <w:szCs w:val="24"/>
              </w:rPr>
              <w:lastRenderedPageBreak/>
              <w:t>konkursowej</w:t>
            </w:r>
            <w:r w:rsidR="005D12C5" w:rsidRPr="00052A6C">
              <w:rPr>
                <w:rFonts w:ascii="Times New Roman" w:hAnsi="Times New Roman" w:cs="Times New Roman"/>
                <w:sz w:val="24"/>
                <w:szCs w:val="24"/>
              </w:rPr>
              <w:t xml:space="preserve"> </w:t>
            </w:r>
            <w:r w:rsidR="002D4E36" w:rsidRPr="00052A6C">
              <w:rPr>
                <w:rFonts w:ascii="Times New Roman" w:hAnsi="Times New Roman" w:cs="Times New Roman"/>
                <w:sz w:val="24"/>
                <w:szCs w:val="24"/>
              </w:rPr>
              <w:t>będą trwać</w:t>
            </w:r>
            <w:r w:rsidRPr="00052A6C">
              <w:rPr>
                <w:rFonts w:ascii="Times New Roman" w:hAnsi="Times New Roman" w:cs="Times New Roman"/>
                <w:sz w:val="24"/>
                <w:szCs w:val="24"/>
              </w:rPr>
              <w:t>, w zależności od ilości oraz obszerności ofert, od 2 do 3 miesięcy.</w:t>
            </w:r>
            <w:r w:rsidR="00174A1E" w:rsidRPr="00052A6C">
              <w:rPr>
                <w:rFonts w:ascii="Times New Roman" w:hAnsi="Times New Roman" w:cs="Times New Roman"/>
                <w:sz w:val="24"/>
                <w:szCs w:val="24"/>
              </w:rPr>
              <w:t xml:space="preserve"> </w:t>
            </w:r>
          </w:p>
          <w:p w14:paraId="2DA99EBD" w14:textId="77777777" w:rsidR="006C4A10" w:rsidRPr="00052A6C" w:rsidRDefault="006C4A10"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 xml:space="preserve">Utworzenie dodatkowych etatów nastąpi w 2021 roku i wyniesie </w:t>
            </w:r>
            <w:r w:rsidR="00A66174" w:rsidRPr="00052A6C">
              <w:rPr>
                <w:rFonts w:ascii="Times New Roman" w:hAnsi="Times New Roman" w:cs="Times New Roman"/>
                <w:sz w:val="24"/>
                <w:szCs w:val="24"/>
              </w:rPr>
              <w:t>0,8</w:t>
            </w:r>
            <w:r w:rsidR="002A279F" w:rsidRPr="00052A6C">
              <w:rPr>
                <w:rFonts w:ascii="Times New Roman" w:hAnsi="Times New Roman" w:cs="Times New Roman"/>
                <w:sz w:val="24"/>
                <w:szCs w:val="24"/>
              </w:rPr>
              <w:t>4</w:t>
            </w:r>
            <w:r w:rsidRPr="00052A6C">
              <w:rPr>
                <w:rFonts w:ascii="Times New Roman" w:hAnsi="Times New Roman" w:cs="Times New Roman"/>
                <w:sz w:val="24"/>
                <w:szCs w:val="24"/>
              </w:rPr>
              <w:t xml:space="preserve"> mln zł, natomiast w roku 2022 1,70 mln zł a w roku 2023 0,84 mln zł.</w:t>
            </w:r>
          </w:p>
          <w:p w14:paraId="09E63BE5" w14:textId="77777777" w:rsidR="003A6F7A" w:rsidRPr="00052A6C" w:rsidRDefault="003A6F7A" w:rsidP="00277F6C">
            <w:pPr>
              <w:pStyle w:val="Akapitzlist"/>
              <w:numPr>
                <w:ilvl w:val="0"/>
                <w:numId w:val="6"/>
              </w:numPr>
              <w:spacing w:after="120"/>
              <w:contextualSpacing w:val="0"/>
              <w:jc w:val="both"/>
              <w:rPr>
                <w:rFonts w:ascii="Times New Roman" w:hAnsi="Times New Roman" w:cs="Times New Roman"/>
                <w:sz w:val="24"/>
                <w:szCs w:val="24"/>
              </w:rPr>
            </w:pPr>
            <w:r w:rsidRPr="00052A6C">
              <w:rPr>
                <w:rFonts w:ascii="Times New Roman" w:hAnsi="Times New Roman" w:cs="Times New Roman"/>
                <w:sz w:val="24"/>
                <w:szCs w:val="24"/>
                <w:u w:val="single"/>
              </w:rPr>
              <w:t xml:space="preserve">Koszt organu właściwego do sprawowania kontroli i nadzoru nad </w:t>
            </w:r>
            <w:r w:rsidR="005D12C5" w:rsidRPr="00052A6C">
              <w:rPr>
                <w:rFonts w:ascii="Times New Roman" w:hAnsi="Times New Roman" w:cs="Times New Roman"/>
                <w:sz w:val="24"/>
                <w:szCs w:val="24"/>
                <w:u w:val="single"/>
              </w:rPr>
              <w:t>operatorem wyznaczonym</w:t>
            </w:r>
            <w:r w:rsidRPr="00052A6C">
              <w:rPr>
                <w:rFonts w:ascii="Times New Roman" w:hAnsi="Times New Roman" w:cs="Times New Roman"/>
                <w:sz w:val="24"/>
                <w:szCs w:val="24"/>
                <w:u w:val="single"/>
              </w:rPr>
              <w:t xml:space="preserve"> </w:t>
            </w:r>
            <w:r w:rsidR="006C4A10" w:rsidRPr="00052A6C">
              <w:rPr>
                <w:rFonts w:ascii="Times New Roman" w:hAnsi="Times New Roman" w:cs="Times New Roman"/>
                <w:sz w:val="24"/>
                <w:szCs w:val="24"/>
                <w:u w:val="single"/>
              </w:rPr>
              <w:t>– cz. 76- Urząd Komunikacji Elektronicznej</w:t>
            </w:r>
          </w:p>
          <w:p w14:paraId="6094685A" w14:textId="77777777" w:rsidR="00CD1EFD" w:rsidRPr="00052A6C" w:rsidRDefault="003A6F7A" w:rsidP="00277F6C">
            <w:pPr>
              <w:spacing w:after="120"/>
              <w:jc w:val="both"/>
              <w:rPr>
                <w:rFonts w:ascii="Times New Roman" w:hAnsi="Times New Roman" w:cs="Times New Roman"/>
                <w:iCs/>
                <w:sz w:val="24"/>
                <w:szCs w:val="24"/>
              </w:rPr>
            </w:pPr>
            <w:r w:rsidRPr="00052A6C">
              <w:rPr>
                <w:rFonts w:ascii="Times New Roman" w:hAnsi="Times New Roman" w:cs="Times New Roman"/>
                <w:iCs/>
                <w:sz w:val="24"/>
                <w:szCs w:val="24"/>
              </w:rPr>
              <w:t>Niezależnie od zadań związanych z przygotowaniem i przeprowadzeniem procedury wyboru, organ właściwy do nadzoru nad prawidłowością wypełniania zadań</w:t>
            </w:r>
            <w:r w:rsidR="005D12C5" w:rsidRPr="00052A6C">
              <w:rPr>
                <w:rFonts w:ascii="Times New Roman" w:hAnsi="Times New Roman" w:cs="Times New Roman"/>
                <w:iCs/>
                <w:sz w:val="24"/>
                <w:szCs w:val="24"/>
              </w:rPr>
              <w:t xml:space="preserve"> operatora wyznaczonego</w:t>
            </w:r>
            <w:r w:rsidRPr="00052A6C">
              <w:rPr>
                <w:rFonts w:ascii="Times New Roman" w:hAnsi="Times New Roman" w:cs="Times New Roman"/>
                <w:iCs/>
                <w:sz w:val="24"/>
                <w:szCs w:val="24"/>
              </w:rPr>
              <w:t xml:space="preserve"> (w tym również w okresie przejściowym), będzie miał znacząco zwiększoną liczbę zadań związanych m.in. z kontrolą, interwencjami, skargami i</w:t>
            </w:r>
            <w:r w:rsidR="005D12C5" w:rsidRPr="00052A6C">
              <w:rPr>
                <w:rFonts w:ascii="Times New Roman" w:hAnsi="Times New Roman" w:cs="Times New Roman"/>
                <w:iCs/>
                <w:sz w:val="24"/>
                <w:szCs w:val="24"/>
              </w:rPr>
              <w:t> </w:t>
            </w:r>
            <w:r w:rsidRPr="00052A6C">
              <w:rPr>
                <w:rFonts w:ascii="Times New Roman" w:hAnsi="Times New Roman" w:cs="Times New Roman"/>
                <w:iCs/>
                <w:sz w:val="24"/>
                <w:szCs w:val="24"/>
              </w:rPr>
              <w:t>wnioskami ADR. Celem tych działań będzie zapewnienie prawidłowego funkcjonowania pocztowych e</w:t>
            </w:r>
            <w:r w:rsidRPr="00052A6C">
              <w:rPr>
                <w:rFonts w:ascii="Times New Roman" w:hAnsi="Times New Roman" w:cs="Times New Roman"/>
                <w:iCs/>
                <w:sz w:val="24"/>
                <w:szCs w:val="24"/>
              </w:rPr>
              <w:noBreakHyphen/>
              <w:t xml:space="preserve">usług w powiązaniu z funkcjonowaniem usług tradycyjnych, a także zapewnienie uczestnikom obrotu pocztowego właściwych warunków świadczenia usług, w tym bezpieczeństwa świadczenia usług, przestrzegania tajemnicy pocztowej oraz odpowiedniej jakości usług świadczonych przez operatora. </w:t>
            </w:r>
            <w:r w:rsidR="00CD1EFD" w:rsidRPr="00052A6C">
              <w:rPr>
                <w:rFonts w:ascii="Times New Roman" w:hAnsi="Times New Roman" w:cs="Times New Roman"/>
                <w:iCs/>
                <w:sz w:val="24"/>
                <w:szCs w:val="24"/>
              </w:rPr>
              <w:t>Pewność nowych usług a w tym skuteczność nadzoru będzie istotnym czynnikiem kształtującym zaufanie społeczeństwa do interakcji elektronicznej między obywatelami, przedsiębiorstwami i organami publicznymi.</w:t>
            </w:r>
          </w:p>
          <w:p w14:paraId="38742C52" w14:textId="77777777" w:rsidR="003A6F7A" w:rsidRPr="00052A6C" w:rsidRDefault="003A6F7A" w:rsidP="00277F6C">
            <w:pPr>
              <w:spacing w:after="120"/>
              <w:jc w:val="both"/>
              <w:rPr>
                <w:rFonts w:ascii="Times New Roman" w:hAnsi="Times New Roman" w:cs="Times New Roman"/>
                <w:b/>
                <w:sz w:val="24"/>
                <w:szCs w:val="24"/>
              </w:rPr>
            </w:pPr>
            <w:r w:rsidRPr="00052A6C">
              <w:rPr>
                <w:rFonts w:ascii="Times New Roman" w:hAnsi="Times New Roman" w:cs="Times New Roman"/>
                <w:iCs/>
                <w:sz w:val="24"/>
                <w:szCs w:val="24"/>
              </w:rPr>
              <w:t>W</w:t>
            </w:r>
            <w:r w:rsidR="005D12C5" w:rsidRPr="00052A6C">
              <w:rPr>
                <w:rFonts w:ascii="Times New Roman" w:hAnsi="Times New Roman" w:cs="Times New Roman"/>
                <w:iCs/>
                <w:sz w:val="24"/>
                <w:szCs w:val="24"/>
              </w:rPr>
              <w:t> </w:t>
            </w:r>
            <w:r w:rsidRPr="00052A6C">
              <w:rPr>
                <w:rFonts w:ascii="Times New Roman" w:hAnsi="Times New Roman" w:cs="Times New Roman"/>
                <w:iCs/>
                <w:sz w:val="24"/>
                <w:szCs w:val="24"/>
              </w:rPr>
              <w:t xml:space="preserve">związku z powyższym w organie właściwym do nadzoru </w:t>
            </w:r>
            <w:r w:rsidR="005D12C5" w:rsidRPr="00052A6C">
              <w:rPr>
                <w:rFonts w:ascii="Times New Roman" w:hAnsi="Times New Roman" w:cs="Times New Roman"/>
                <w:iCs/>
                <w:sz w:val="24"/>
                <w:szCs w:val="24"/>
              </w:rPr>
              <w:t xml:space="preserve">nad operatorem wyznaczonym </w:t>
            </w:r>
            <w:r w:rsidRPr="00052A6C">
              <w:rPr>
                <w:rFonts w:ascii="Times New Roman" w:hAnsi="Times New Roman" w:cs="Times New Roman"/>
                <w:iCs/>
                <w:sz w:val="24"/>
                <w:szCs w:val="24"/>
              </w:rPr>
              <w:t xml:space="preserve">konieczne jest zwiększenie zatrudnienia, począwszy od powołania </w:t>
            </w:r>
            <w:r w:rsidR="005D12C5" w:rsidRPr="00052A6C">
              <w:rPr>
                <w:rFonts w:ascii="Times New Roman" w:hAnsi="Times New Roman" w:cs="Times New Roman"/>
                <w:iCs/>
                <w:sz w:val="24"/>
                <w:szCs w:val="24"/>
              </w:rPr>
              <w:t>operatora wyznaczonego</w:t>
            </w:r>
            <w:r w:rsidRPr="00052A6C">
              <w:rPr>
                <w:rFonts w:ascii="Times New Roman" w:hAnsi="Times New Roman" w:cs="Times New Roman"/>
                <w:iCs/>
                <w:sz w:val="24"/>
                <w:szCs w:val="24"/>
              </w:rPr>
              <w:t xml:space="preserve"> z mocy ustawy, o 9 etatów (5 etatów eksperckich oraz 4 specjalistów). Koszt miesięczny wynagrodzeń szacuje się na 75 tys. zł. Dodatkowym kosztem jednorazowym będzie koszt utworzenia stanowiska pracy wraz z</w:t>
            </w:r>
            <w:r w:rsidR="005D12C5" w:rsidRPr="00052A6C">
              <w:rPr>
                <w:rFonts w:ascii="Times New Roman" w:hAnsi="Times New Roman" w:cs="Times New Roman"/>
                <w:iCs/>
                <w:sz w:val="24"/>
                <w:szCs w:val="24"/>
              </w:rPr>
              <w:t> </w:t>
            </w:r>
            <w:r w:rsidRPr="00052A6C">
              <w:rPr>
                <w:rFonts w:ascii="Times New Roman" w:hAnsi="Times New Roman" w:cs="Times New Roman"/>
                <w:iCs/>
                <w:sz w:val="24"/>
                <w:szCs w:val="24"/>
              </w:rPr>
              <w:t xml:space="preserve">wyposażeniem </w:t>
            </w:r>
            <w:r w:rsidR="002D4E36" w:rsidRPr="00052A6C">
              <w:rPr>
                <w:rFonts w:ascii="Times New Roman" w:hAnsi="Times New Roman" w:cs="Times New Roman"/>
                <w:iCs/>
                <w:sz w:val="24"/>
                <w:szCs w:val="24"/>
              </w:rPr>
              <w:t xml:space="preserve">- </w:t>
            </w:r>
            <w:r w:rsidRPr="00052A6C">
              <w:rPr>
                <w:rFonts w:ascii="Times New Roman" w:hAnsi="Times New Roman" w:cs="Times New Roman"/>
                <w:iCs/>
                <w:sz w:val="24"/>
                <w:szCs w:val="24"/>
              </w:rPr>
              <w:t xml:space="preserve">67 tys. zł. </w:t>
            </w:r>
          </w:p>
          <w:p w14:paraId="5BD527A5" w14:textId="77777777" w:rsidR="003A6F7A" w:rsidRPr="00052A6C" w:rsidRDefault="006C4A10"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Koszt ten wyniesie w roku 2019 0,97 mln zł, w roku 2020 oraz latach kolejnych 0,90 mln zł.</w:t>
            </w:r>
          </w:p>
          <w:p w14:paraId="1B5EC753" w14:textId="77777777" w:rsidR="00331FB1" w:rsidRPr="00052A6C" w:rsidRDefault="00331FB1" w:rsidP="00277F6C">
            <w:pPr>
              <w:jc w:val="both"/>
              <w:rPr>
                <w:rFonts w:ascii="Times New Roman" w:hAnsi="Times New Roman" w:cs="Times New Roman"/>
                <w:sz w:val="24"/>
                <w:szCs w:val="24"/>
              </w:rPr>
            </w:pPr>
          </w:p>
          <w:p w14:paraId="1E118196" w14:textId="77777777" w:rsidR="003A6F7A" w:rsidRPr="00052A6C" w:rsidRDefault="003A6F7A" w:rsidP="00277F6C">
            <w:pPr>
              <w:pStyle w:val="Akapitzlist"/>
              <w:numPr>
                <w:ilvl w:val="0"/>
                <w:numId w:val="6"/>
              </w:numPr>
              <w:spacing w:after="120"/>
              <w:ind w:left="204" w:hanging="142"/>
              <w:contextualSpacing w:val="0"/>
              <w:jc w:val="both"/>
              <w:rPr>
                <w:rFonts w:ascii="Times New Roman" w:hAnsi="Times New Roman" w:cs="Times New Roman"/>
                <w:sz w:val="24"/>
                <w:szCs w:val="24"/>
                <w:u w:val="single"/>
              </w:rPr>
            </w:pPr>
            <w:r w:rsidRPr="00052A6C">
              <w:rPr>
                <w:rFonts w:ascii="Times New Roman" w:hAnsi="Times New Roman" w:cs="Times New Roman"/>
                <w:bCs/>
                <w:sz w:val="24"/>
                <w:szCs w:val="24"/>
                <w:u w:val="single"/>
              </w:rPr>
              <w:t xml:space="preserve">Model finansowania świadczenia </w:t>
            </w:r>
            <w:r w:rsidR="005D12C5" w:rsidRPr="00052A6C">
              <w:rPr>
                <w:rFonts w:ascii="Times New Roman" w:hAnsi="Times New Roman" w:cs="Times New Roman"/>
                <w:bCs/>
                <w:sz w:val="24"/>
                <w:szCs w:val="24"/>
                <w:u w:val="single"/>
              </w:rPr>
              <w:t>publicznej usługi rejestrowanego doręczenia elektronicznego oraz publicznej usługi hybrydowej</w:t>
            </w:r>
          </w:p>
          <w:p w14:paraId="7AE6EC9E" w14:textId="77777777" w:rsidR="003A6F7A" w:rsidRPr="00052A6C" w:rsidRDefault="003A6F7A" w:rsidP="00277F6C">
            <w:pPr>
              <w:spacing w:after="120"/>
              <w:ind w:left="204"/>
              <w:jc w:val="both"/>
              <w:rPr>
                <w:rFonts w:ascii="Times New Roman" w:hAnsi="Times New Roman" w:cs="Times New Roman"/>
                <w:sz w:val="24"/>
                <w:szCs w:val="24"/>
              </w:rPr>
            </w:pPr>
            <w:r w:rsidRPr="00052A6C">
              <w:rPr>
                <w:rFonts w:ascii="Times New Roman" w:hAnsi="Times New Roman" w:cs="Times New Roman"/>
                <w:sz w:val="24"/>
                <w:szCs w:val="24"/>
              </w:rPr>
              <w:t>Cennik obejmował będzie:</w:t>
            </w:r>
          </w:p>
          <w:p w14:paraId="0810700C" w14:textId="77777777" w:rsidR="003A6F7A" w:rsidRPr="00052A6C" w:rsidRDefault="003A6F7A" w:rsidP="00277F6C">
            <w:pPr>
              <w:pStyle w:val="Akapitzlist"/>
              <w:numPr>
                <w:ilvl w:val="0"/>
                <w:numId w:val="32"/>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Opłatę za </w:t>
            </w:r>
            <w:r w:rsidR="00626AFA" w:rsidRPr="00052A6C">
              <w:rPr>
                <w:rFonts w:ascii="Times New Roman" w:hAnsi="Times New Roman" w:cs="Times New Roman"/>
                <w:sz w:val="24"/>
                <w:szCs w:val="24"/>
              </w:rPr>
              <w:t xml:space="preserve">publiczną </w:t>
            </w:r>
            <w:r w:rsidRPr="00052A6C">
              <w:rPr>
                <w:rFonts w:ascii="Times New Roman" w:hAnsi="Times New Roman" w:cs="Times New Roman"/>
                <w:sz w:val="24"/>
                <w:szCs w:val="24"/>
              </w:rPr>
              <w:t>usługę rejestrowanego doręczenia elektronicznego (e</w:t>
            </w:r>
            <w:r w:rsidRPr="00052A6C">
              <w:rPr>
                <w:rFonts w:ascii="Times New Roman" w:hAnsi="Times New Roman" w:cs="Times New Roman"/>
                <w:sz w:val="24"/>
                <w:szCs w:val="24"/>
              </w:rPr>
              <w:noBreakHyphen/>
              <w:t>Doręczenie) – tj. przesyłki elektroniczne;</w:t>
            </w:r>
          </w:p>
          <w:p w14:paraId="79A73F91" w14:textId="77777777" w:rsidR="003A6F7A" w:rsidRPr="00052A6C" w:rsidRDefault="003A6F7A" w:rsidP="00277F6C">
            <w:pPr>
              <w:pStyle w:val="Akapitzlist"/>
              <w:numPr>
                <w:ilvl w:val="0"/>
                <w:numId w:val="32"/>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Opłatę za </w:t>
            </w:r>
            <w:r w:rsidR="00626AFA" w:rsidRPr="00052A6C">
              <w:rPr>
                <w:rFonts w:ascii="Times New Roman" w:hAnsi="Times New Roman" w:cs="Times New Roman"/>
                <w:sz w:val="24"/>
                <w:szCs w:val="24"/>
              </w:rPr>
              <w:t xml:space="preserve">publiczną </w:t>
            </w:r>
            <w:r w:rsidRPr="00052A6C">
              <w:rPr>
                <w:rFonts w:ascii="Times New Roman" w:hAnsi="Times New Roman" w:cs="Times New Roman"/>
                <w:sz w:val="24"/>
                <w:szCs w:val="24"/>
              </w:rPr>
              <w:t>usługę hybrydow</w:t>
            </w:r>
            <w:r w:rsidR="00626AFA" w:rsidRPr="00052A6C">
              <w:rPr>
                <w:rFonts w:ascii="Times New Roman" w:hAnsi="Times New Roman" w:cs="Times New Roman"/>
                <w:sz w:val="24"/>
                <w:szCs w:val="24"/>
              </w:rPr>
              <w:t>ą</w:t>
            </w:r>
            <w:r w:rsidRPr="00052A6C">
              <w:rPr>
                <w:rFonts w:ascii="Times New Roman" w:hAnsi="Times New Roman" w:cs="Times New Roman"/>
                <w:sz w:val="24"/>
                <w:szCs w:val="24"/>
              </w:rPr>
              <w:t>:</w:t>
            </w:r>
          </w:p>
          <w:p w14:paraId="203E9B42" w14:textId="77777777" w:rsidR="003A6F7A" w:rsidRPr="00052A6C" w:rsidRDefault="003A6F7A" w:rsidP="00277F6C">
            <w:pPr>
              <w:pStyle w:val="Akapitzlist"/>
              <w:numPr>
                <w:ilvl w:val="0"/>
                <w:numId w:val="34"/>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Doręczenie w postaci papierowej przesyłki pocztowej korespondencji nadanej przez podmiot publiczny w postaci elektronicznej, </w:t>
            </w:r>
          </w:p>
          <w:p w14:paraId="1CD6F6F0" w14:textId="77777777" w:rsidR="003A6F7A" w:rsidRPr="00052A6C" w:rsidRDefault="003A6F7A" w:rsidP="00277F6C">
            <w:pPr>
              <w:pStyle w:val="Akapitzlist"/>
              <w:numPr>
                <w:ilvl w:val="0"/>
                <w:numId w:val="34"/>
              </w:numPr>
              <w:spacing w:after="120"/>
              <w:ind w:left="204" w:firstLine="0"/>
              <w:contextualSpacing w:val="0"/>
              <w:jc w:val="both"/>
              <w:rPr>
                <w:rFonts w:ascii="Times New Roman" w:hAnsi="Times New Roman" w:cs="Times New Roman"/>
                <w:b/>
                <w:sz w:val="24"/>
                <w:szCs w:val="24"/>
              </w:rPr>
            </w:pPr>
            <w:r w:rsidRPr="00052A6C">
              <w:rPr>
                <w:rFonts w:ascii="Times New Roman" w:hAnsi="Times New Roman" w:cs="Times New Roman"/>
                <w:sz w:val="24"/>
                <w:szCs w:val="24"/>
              </w:rPr>
              <w:t>Doręczenie w postaci elektronicznej korespondencji skierowanej do podmiotu publicznego, nadanej w postaci papierowej.</w:t>
            </w:r>
          </w:p>
          <w:p w14:paraId="7DCC255B" w14:textId="77777777" w:rsidR="003A6F7A" w:rsidRPr="00052A6C" w:rsidRDefault="003A6F7A" w:rsidP="00277F6C">
            <w:pPr>
              <w:pStyle w:val="Akapitzlist"/>
              <w:spacing w:after="120"/>
              <w:ind w:left="204"/>
              <w:contextualSpacing w:val="0"/>
              <w:jc w:val="both"/>
              <w:rPr>
                <w:rFonts w:ascii="Times New Roman" w:hAnsi="Times New Roman" w:cs="Times New Roman"/>
                <w:sz w:val="24"/>
                <w:szCs w:val="24"/>
                <w:u w:val="single"/>
              </w:rPr>
            </w:pPr>
          </w:p>
          <w:p w14:paraId="1BC221E6" w14:textId="30F040EA" w:rsidR="003A6F7A" w:rsidRPr="00052A6C" w:rsidRDefault="003A6F7A" w:rsidP="00277F6C">
            <w:pPr>
              <w:pStyle w:val="Akapitzlist"/>
              <w:numPr>
                <w:ilvl w:val="0"/>
                <w:numId w:val="36"/>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Opłata </w:t>
            </w:r>
            <w:r w:rsidR="00437516" w:rsidRPr="00052A6C">
              <w:rPr>
                <w:rFonts w:ascii="Times New Roman" w:hAnsi="Times New Roman" w:cs="Times New Roman"/>
                <w:sz w:val="24"/>
                <w:szCs w:val="24"/>
              </w:rPr>
              <w:t xml:space="preserve">za </w:t>
            </w:r>
            <w:r w:rsidR="00565001" w:rsidRPr="00052A6C">
              <w:rPr>
                <w:rFonts w:ascii="Times New Roman" w:hAnsi="Times New Roman" w:cs="Times New Roman"/>
                <w:sz w:val="24"/>
                <w:szCs w:val="24"/>
              </w:rPr>
              <w:t>publiczn</w:t>
            </w:r>
            <w:r w:rsidR="00437516" w:rsidRPr="00052A6C">
              <w:rPr>
                <w:rFonts w:ascii="Times New Roman" w:hAnsi="Times New Roman" w:cs="Times New Roman"/>
                <w:sz w:val="24"/>
                <w:szCs w:val="24"/>
              </w:rPr>
              <w:t>ą</w:t>
            </w:r>
            <w:r w:rsidR="00565001" w:rsidRPr="00052A6C">
              <w:rPr>
                <w:rFonts w:ascii="Times New Roman" w:hAnsi="Times New Roman" w:cs="Times New Roman"/>
                <w:sz w:val="24"/>
                <w:szCs w:val="24"/>
              </w:rPr>
              <w:t xml:space="preserve"> usług</w:t>
            </w:r>
            <w:r w:rsidR="00437516" w:rsidRPr="00052A6C">
              <w:rPr>
                <w:rFonts w:ascii="Times New Roman" w:hAnsi="Times New Roman" w:cs="Times New Roman"/>
                <w:sz w:val="24"/>
                <w:szCs w:val="24"/>
              </w:rPr>
              <w:t>ę</w:t>
            </w:r>
            <w:r w:rsidR="00565001" w:rsidRPr="00052A6C">
              <w:rPr>
                <w:rFonts w:ascii="Times New Roman" w:hAnsi="Times New Roman" w:cs="Times New Roman"/>
                <w:sz w:val="24"/>
                <w:szCs w:val="24"/>
              </w:rPr>
              <w:t xml:space="preserve"> rejestrowanego doręczenia elektronicznego naliczana </w:t>
            </w:r>
            <w:r w:rsidR="00437516" w:rsidRPr="00052A6C">
              <w:rPr>
                <w:rFonts w:ascii="Times New Roman" w:hAnsi="Times New Roman" w:cs="Times New Roman"/>
                <w:sz w:val="24"/>
                <w:szCs w:val="24"/>
              </w:rPr>
              <w:t>będzie</w:t>
            </w:r>
            <w:r w:rsidR="00565001" w:rsidRPr="00052A6C">
              <w:rPr>
                <w:rFonts w:ascii="Times New Roman" w:hAnsi="Times New Roman" w:cs="Times New Roman"/>
                <w:sz w:val="24"/>
                <w:szCs w:val="24"/>
              </w:rPr>
              <w:t xml:space="preserve"> za pojedynczy przesył danych z uwzględnieniem wielkości </w:t>
            </w:r>
            <w:r w:rsidR="00DB63E7" w:rsidRPr="00052A6C">
              <w:rPr>
                <w:rFonts w:ascii="Times New Roman" w:hAnsi="Times New Roman" w:cs="Times New Roman"/>
                <w:sz w:val="24"/>
                <w:szCs w:val="24"/>
              </w:rPr>
              <w:t>danych</w:t>
            </w:r>
            <w:r w:rsidR="00565001" w:rsidRPr="00052A6C">
              <w:rPr>
                <w:rFonts w:ascii="Times New Roman" w:hAnsi="Times New Roman" w:cs="Times New Roman"/>
                <w:sz w:val="24"/>
                <w:szCs w:val="24"/>
              </w:rPr>
              <w:t xml:space="preserve">, przy czym cena jednostkowa za przesył danych ustalana </w:t>
            </w:r>
            <w:r w:rsidR="00437516" w:rsidRPr="00052A6C">
              <w:rPr>
                <w:rFonts w:ascii="Times New Roman" w:hAnsi="Times New Roman" w:cs="Times New Roman"/>
                <w:sz w:val="24"/>
                <w:szCs w:val="24"/>
              </w:rPr>
              <w:t>będzie</w:t>
            </w:r>
            <w:r w:rsidR="00565001" w:rsidRPr="00052A6C">
              <w:rPr>
                <w:rFonts w:ascii="Times New Roman" w:hAnsi="Times New Roman" w:cs="Times New Roman"/>
                <w:sz w:val="24"/>
                <w:szCs w:val="24"/>
              </w:rPr>
              <w:t xml:space="preserve"> za każdy rozpoczęty transfer 50 MB od nadawcy do odbiorcy</w:t>
            </w:r>
          </w:p>
          <w:p w14:paraId="019B488E" w14:textId="77777777" w:rsidR="003A6F7A" w:rsidRPr="00052A6C" w:rsidRDefault="003A6F7A" w:rsidP="00277F6C">
            <w:pPr>
              <w:pStyle w:val="Akapitzlist"/>
              <w:numPr>
                <w:ilvl w:val="0"/>
                <w:numId w:val="13"/>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korespondencji pomiędzy podmiotem publicznym a podmiotem niepublicznym opłatę uiszcza podmiot publiczny (niezależnie od tego, czy jest nadawcą, czy odbiorcą e-Doręczenia);</w:t>
            </w:r>
          </w:p>
          <w:p w14:paraId="3D3B1473" w14:textId="77777777" w:rsidR="00C93623" w:rsidRPr="00052A6C" w:rsidRDefault="003A6F7A" w:rsidP="00277F6C">
            <w:pPr>
              <w:pStyle w:val="Akapitzlist"/>
              <w:numPr>
                <w:ilvl w:val="0"/>
                <w:numId w:val="13"/>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W korespondencji między podmiotami publicznymi opłatę uiszcza </w:t>
            </w:r>
            <w:r w:rsidR="005D12C5" w:rsidRPr="00052A6C">
              <w:rPr>
                <w:rFonts w:ascii="Times New Roman" w:hAnsi="Times New Roman" w:cs="Times New Roman"/>
                <w:sz w:val="24"/>
                <w:szCs w:val="24"/>
              </w:rPr>
              <w:t>N</w:t>
            </w:r>
            <w:r w:rsidRPr="00052A6C">
              <w:rPr>
                <w:rFonts w:ascii="Times New Roman" w:hAnsi="Times New Roman" w:cs="Times New Roman"/>
                <w:sz w:val="24"/>
                <w:szCs w:val="24"/>
              </w:rPr>
              <w:t>adawca</w:t>
            </w:r>
            <w:r w:rsidR="00C93623" w:rsidRPr="00052A6C">
              <w:rPr>
                <w:rFonts w:ascii="Times New Roman" w:hAnsi="Times New Roman" w:cs="Times New Roman"/>
                <w:sz w:val="24"/>
                <w:szCs w:val="24"/>
              </w:rPr>
              <w:t>,</w:t>
            </w:r>
          </w:p>
          <w:p w14:paraId="1E8C67B5" w14:textId="77777777" w:rsidR="003A6F7A" w:rsidRPr="00052A6C" w:rsidRDefault="00C93623" w:rsidP="00277F6C">
            <w:pPr>
              <w:pStyle w:val="Akapitzlist"/>
              <w:numPr>
                <w:ilvl w:val="0"/>
                <w:numId w:val="13"/>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W korespondencji między podmiotami niepublicznymi opłatę uiszcza Nadawca</w:t>
            </w:r>
          </w:p>
          <w:p w14:paraId="0B734739" w14:textId="77777777" w:rsidR="003A6F7A" w:rsidRPr="00052A6C" w:rsidRDefault="003A6F7A" w:rsidP="00277F6C">
            <w:pPr>
              <w:spacing w:after="120"/>
              <w:ind w:left="204"/>
              <w:jc w:val="both"/>
              <w:rPr>
                <w:rFonts w:ascii="Times New Roman" w:hAnsi="Times New Roman" w:cs="Times New Roman"/>
                <w:sz w:val="24"/>
                <w:szCs w:val="24"/>
                <w:u w:val="single"/>
              </w:rPr>
            </w:pPr>
          </w:p>
          <w:p w14:paraId="60801F96" w14:textId="77777777" w:rsidR="003A6F7A" w:rsidRPr="00052A6C" w:rsidRDefault="003A6F7A" w:rsidP="00277F6C">
            <w:pPr>
              <w:pStyle w:val="Akapitzlist"/>
              <w:numPr>
                <w:ilvl w:val="0"/>
                <w:numId w:val="36"/>
              </w:numPr>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Opłata za </w:t>
            </w:r>
            <w:r w:rsidR="00626AFA" w:rsidRPr="00052A6C">
              <w:rPr>
                <w:rFonts w:ascii="Times New Roman" w:hAnsi="Times New Roman" w:cs="Times New Roman"/>
                <w:sz w:val="24"/>
                <w:szCs w:val="24"/>
              </w:rPr>
              <w:t xml:space="preserve">publiczną </w:t>
            </w:r>
            <w:r w:rsidRPr="00052A6C">
              <w:rPr>
                <w:rFonts w:ascii="Times New Roman" w:hAnsi="Times New Roman" w:cs="Times New Roman"/>
                <w:sz w:val="24"/>
                <w:szCs w:val="24"/>
              </w:rPr>
              <w:t xml:space="preserve">usługę </w:t>
            </w:r>
            <w:r w:rsidR="00626AFA" w:rsidRPr="00052A6C">
              <w:rPr>
                <w:rFonts w:ascii="Times New Roman" w:hAnsi="Times New Roman" w:cs="Times New Roman"/>
                <w:sz w:val="24"/>
                <w:szCs w:val="24"/>
              </w:rPr>
              <w:t>hybrydową</w:t>
            </w:r>
          </w:p>
          <w:p w14:paraId="2E489B14" w14:textId="77777777" w:rsidR="00C93623" w:rsidRPr="00052A6C" w:rsidRDefault="003A6F7A" w:rsidP="00277F6C">
            <w:pPr>
              <w:pStyle w:val="Akapitzlist"/>
              <w:numPr>
                <w:ilvl w:val="0"/>
                <w:numId w:val="14"/>
              </w:numPr>
              <w:tabs>
                <w:tab w:val="center" w:pos="4536"/>
                <w:tab w:val="right" w:pos="9072"/>
              </w:tabs>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Doręczenie </w:t>
            </w:r>
            <w:r w:rsidR="002D4E36" w:rsidRPr="00052A6C">
              <w:rPr>
                <w:rFonts w:ascii="Times New Roman" w:hAnsi="Times New Roman" w:cs="Times New Roman"/>
                <w:sz w:val="24"/>
                <w:szCs w:val="24"/>
              </w:rPr>
              <w:t xml:space="preserve">korespondencji </w:t>
            </w:r>
            <w:r w:rsidRPr="00052A6C">
              <w:rPr>
                <w:rFonts w:ascii="Times New Roman" w:hAnsi="Times New Roman" w:cs="Times New Roman"/>
                <w:sz w:val="24"/>
                <w:szCs w:val="24"/>
              </w:rPr>
              <w:t>w postaci papierowej przesyłki pocztowej nadanej przez podmiot publiczny w postaci elektronicznej,</w:t>
            </w:r>
            <w:r w:rsidR="00C93623" w:rsidRPr="00052A6C">
              <w:rPr>
                <w:rFonts w:ascii="Times New Roman" w:hAnsi="Times New Roman" w:cs="Times New Roman"/>
                <w:sz w:val="24"/>
                <w:szCs w:val="24"/>
              </w:rPr>
              <w:t xml:space="preserve"> opłata pobierana jest za każdą przesyłkę listową z</w:t>
            </w:r>
            <w:r w:rsidR="002D4E36" w:rsidRPr="00052A6C">
              <w:rPr>
                <w:rFonts w:ascii="Times New Roman" w:hAnsi="Times New Roman" w:cs="Times New Roman"/>
                <w:sz w:val="24"/>
                <w:szCs w:val="24"/>
              </w:rPr>
              <w:t> </w:t>
            </w:r>
            <w:r w:rsidR="00C93623" w:rsidRPr="00052A6C">
              <w:rPr>
                <w:rFonts w:ascii="Times New Roman" w:hAnsi="Times New Roman" w:cs="Times New Roman"/>
                <w:sz w:val="24"/>
                <w:szCs w:val="24"/>
              </w:rPr>
              <w:t>uwzględnieniem kosztów przekształcenia dokumentu elektronicznego w dokument papierowy;</w:t>
            </w:r>
          </w:p>
          <w:p w14:paraId="32722316" w14:textId="77777777" w:rsidR="00C93623" w:rsidRPr="00052A6C" w:rsidRDefault="003A6F7A" w:rsidP="00277F6C">
            <w:pPr>
              <w:pStyle w:val="Akapitzlist"/>
              <w:numPr>
                <w:ilvl w:val="0"/>
                <w:numId w:val="14"/>
              </w:numPr>
              <w:tabs>
                <w:tab w:val="center" w:pos="4536"/>
                <w:tab w:val="right" w:pos="9072"/>
              </w:tabs>
              <w:spacing w:after="120"/>
              <w:ind w:left="204" w:firstLine="0"/>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Doręczenie w postaci elektronicznej korespondencji skierowanej do podmiotu publicznego, nadanej w postaci papierowej, </w:t>
            </w:r>
            <w:r w:rsidR="00C93623" w:rsidRPr="00052A6C">
              <w:rPr>
                <w:rFonts w:ascii="Times New Roman" w:hAnsi="Times New Roman" w:cs="Times New Roman"/>
                <w:sz w:val="24"/>
                <w:szCs w:val="24"/>
              </w:rPr>
              <w:t>opłata pobierana jest za każdą przesyłkę listową z uwzględnieniem kosztów przekształcenia dokumentów w postaci druku lub korespondencji w</w:t>
            </w:r>
            <w:r w:rsidR="005F23C1" w:rsidRPr="00052A6C">
              <w:rPr>
                <w:rFonts w:ascii="Times New Roman" w:hAnsi="Times New Roman" w:cs="Times New Roman"/>
                <w:sz w:val="24"/>
                <w:szCs w:val="24"/>
              </w:rPr>
              <w:t> </w:t>
            </w:r>
            <w:r w:rsidR="00C93623" w:rsidRPr="00052A6C">
              <w:rPr>
                <w:rFonts w:ascii="Times New Roman" w:hAnsi="Times New Roman" w:cs="Times New Roman"/>
                <w:sz w:val="24"/>
                <w:szCs w:val="24"/>
              </w:rPr>
              <w:t>dokument elektroniczny.</w:t>
            </w:r>
          </w:p>
          <w:p w14:paraId="4FC94266"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 xml:space="preserve">Jeżeli podmiot niepubliczny, w tym obywatel będący użytkownikiem skrzynki ESD, korzysta z dodatkowych usług </w:t>
            </w:r>
            <w:r w:rsidR="006507C0" w:rsidRPr="00052A6C">
              <w:rPr>
                <w:rFonts w:ascii="Times New Roman" w:hAnsi="Times New Roman" w:cs="Times New Roman"/>
                <w:sz w:val="24"/>
                <w:szCs w:val="24"/>
              </w:rPr>
              <w:t>operatora wyznaczonego</w:t>
            </w:r>
            <w:r w:rsidRPr="00052A6C">
              <w:rPr>
                <w:rFonts w:ascii="Times New Roman" w:hAnsi="Times New Roman" w:cs="Times New Roman"/>
                <w:sz w:val="24"/>
                <w:szCs w:val="24"/>
              </w:rPr>
              <w:t xml:space="preserve"> (np. dodatkowa przestrzeń dyskową, archiwizowanie dokumentów), ponosi za nie opłaty zgodnie z ustalonym cennikiem;</w:t>
            </w:r>
          </w:p>
          <w:p w14:paraId="1A718C05" w14:textId="10D97703" w:rsidR="003A6F7A" w:rsidRPr="00052A6C" w:rsidRDefault="00565001" w:rsidP="00277F6C">
            <w:pPr>
              <w:spacing w:after="120"/>
              <w:jc w:val="both"/>
              <w:rPr>
                <w:rFonts w:ascii="Times New Roman" w:hAnsi="Times New Roman" w:cs="Times New Roman"/>
                <w:sz w:val="24"/>
                <w:szCs w:val="24"/>
                <w:u w:val="single"/>
              </w:rPr>
            </w:pPr>
            <w:r w:rsidRPr="00052A6C">
              <w:rPr>
                <w:rFonts w:ascii="Times New Roman" w:hAnsi="Times New Roman" w:cs="Times New Roman"/>
                <w:bCs/>
                <w:sz w:val="24"/>
                <w:szCs w:val="24"/>
              </w:rPr>
              <w:t>W pracach koncepcyjnych nad modelem finansowania</w:t>
            </w:r>
            <w:r w:rsidR="00E0083A" w:rsidRPr="00052A6C">
              <w:rPr>
                <w:rFonts w:ascii="Times New Roman" w:hAnsi="Times New Roman" w:cs="Times New Roman"/>
                <w:bCs/>
                <w:sz w:val="24"/>
                <w:szCs w:val="24"/>
              </w:rPr>
              <w:t xml:space="preserve"> </w:t>
            </w:r>
            <w:r w:rsidRPr="00052A6C">
              <w:rPr>
                <w:rFonts w:ascii="Times New Roman" w:hAnsi="Times New Roman" w:cs="Times New Roman"/>
                <w:bCs/>
                <w:sz w:val="24"/>
                <w:szCs w:val="24"/>
              </w:rPr>
              <w:t xml:space="preserve">rozważana </w:t>
            </w:r>
            <w:r w:rsidR="003A6F7A" w:rsidRPr="00052A6C">
              <w:rPr>
                <w:rFonts w:ascii="Times New Roman" w:hAnsi="Times New Roman" w:cs="Times New Roman"/>
                <w:bCs/>
                <w:sz w:val="24"/>
                <w:szCs w:val="24"/>
              </w:rPr>
              <w:t xml:space="preserve">jest również opcja ustalenia dla okresu przejściowego stałej opłaty, uiszczanej przez podmioty publiczne na rzecz </w:t>
            </w:r>
            <w:r w:rsidR="006507C0" w:rsidRPr="00052A6C">
              <w:rPr>
                <w:rFonts w:ascii="Times New Roman" w:hAnsi="Times New Roman" w:cs="Times New Roman"/>
                <w:bCs/>
                <w:sz w:val="24"/>
                <w:szCs w:val="24"/>
              </w:rPr>
              <w:t>operatora wyznaczonego</w:t>
            </w:r>
            <w:r w:rsidR="00123103" w:rsidRPr="00052A6C">
              <w:rPr>
                <w:rFonts w:ascii="Times New Roman" w:hAnsi="Times New Roman" w:cs="Times New Roman"/>
                <w:bCs/>
                <w:sz w:val="24"/>
                <w:szCs w:val="24"/>
              </w:rPr>
              <w:t>.</w:t>
            </w:r>
          </w:p>
          <w:p w14:paraId="11156746" w14:textId="77777777" w:rsidR="003A6F7A" w:rsidRPr="00052A6C" w:rsidRDefault="003A6F7A" w:rsidP="00277F6C">
            <w:pPr>
              <w:spacing w:after="12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Zaproponowany model finansowania jest zgodny z modelem zaprezentowanym Komitetowi Ekonomiczn</w:t>
            </w:r>
            <w:r w:rsidR="006507C0" w:rsidRPr="00052A6C">
              <w:rPr>
                <w:rFonts w:ascii="Times New Roman" w:hAnsi="Times New Roman" w:cs="Times New Roman"/>
                <w:sz w:val="24"/>
                <w:szCs w:val="24"/>
                <w:u w:val="single"/>
              </w:rPr>
              <w:t>emu</w:t>
            </w:r>
            <w:r w:rsidRPr="00052A6C">
              <w:rPr>
                <w:rFonts w:ascii="Times New Roman" w:hAnsi="Times New Roman" w:cs="Times New Roman"/>
                <w:sz w:val="24"/>
                <w:szCs w:val="24"/>
                <w:u w:val="single"/>
              </w:rPr>
              <w:t xml:space="preserve"> Rady Ministrów w dniu 5 czerwca 2018 r. jako Załącznik 2 do wniosku Ministra Cyfryzacji o podjęcie decyzji kierunkowej w zakresie modelu wprowadzenia do polskiego porządku prawnego oraz zapewnienia przez Państwo obywatelom i przedsiębiorcom usługi rejestrowanego doręczenia elektronicznego.</w:t>
            </w:r>
          </w:p>
          <w:p w14:paraId="73138AC5" w14:textId="0018CAE5" w:rsidR="003A6F7A" w:rsidRPr="00052A6C" w:rsidRDefault="003A6F7A" w:rsidP="00277F6C">
            <w:pPr>
              <w:jc w:val="both"/>
              <w:rPr>
                <w:rFonts w:ascii="Times New Roman" w:hAnsi="Times New Roman" w:cs="Times New Roman"/>
                <w:b/>
                <w:sz w:val="24"/>
                <w:szCs w:val="24"/>
                <w:u w:val="single"/>
              </w:rPr>
            </w:pPr>
            <w:r w:rsidRPr="00052A6C">
              <w:rPr>
                <w:rFonts w:ascii="Times New Roman" w:hAnsi="Times New Roman" w:cs="Times New Roman"/>
                <w:b/>
                <w:sz w:val="24"/>
                <w:szCs w:val="24"/>
                <w:u w:val="single"/>
              </w:rPr>
              <w:t xml:space="preserve">Model finansowy oraz </w:t>
            </w:r>
            <w:r w:rsidR="00F765A9" w:rsidRPr="00052A6C">
              <w:rPr>
                <w:rFonts w:ascii="Times New Roman" w:hAnsi="Times New Roman" w:cs="Times New Roman"/>
                <w:b/>
                <w:sz w:val="24"/>
                <w:szCs w:val="24"/>
                <w:u w:val="single"/>
              </w:rPr>
              <w:t xml:space="preserve">ostateczna </w:t>
            </w:r>
            <w:r w:rsidRPr="00052A6C">
              <w:rPr>
                <w:rFonts w:ascii="Times New Roman" w:hAnsi="Times New Roman" w:cs="Times New Roman"/>
                <w:b/>
                <w:sz w:val="24"/>
                <w:szCs w:val="24"/>
                <w:u w:val="single"/>
              </w:rPr>
              <w:t>w</w:t>
            </w:r>
            <w:r w:rsidR="00007EB9" w:rsidRPr="00052A6C">
              <w:rPr>
                <w:rFonts w:ascii="Times New Roman" w:hAnsi="Times New Roman" w:cs="Times New Roman"/>
                <w:b/>
                <w:sz w:val="24"/>
                <w:szCs w:val="24"/>
                <w:u w:val="single"/>
              </w:rPr>
              <w:t>ysokość opłaty</w:t>
            </w:r>
            <w:r w:rsidRPr="00052A6C">
              <w:rPr>
                <w:rFonts w:ascii="Times New Roman" w:hAnsi="Times New Roman" w:cs="Times New Roman"/>
                <w:b/>
                <w:sz w:val="24"/>
                <w:szCs w:val="24"/>
                <w:u w:val="single"/>
              </w:rPr>
              <w:t xml:space="preserve"> za </w:t>
            </w:r>
            <w:r w:rsidR="00007EB9" w:rsidRPr="00052A6C">
              <w:rPr>
                <w:rFonts w:ascii="Times New Roman" w:hAnsi="Times New Roman" w:cs="Times New Roman"/>
                <w:b/>
                <w:sz w:val="24"/>
                <w:szCs w:val="24"/>
                <w:u w:val="single"/>
              </w:rPr>
              <w:t xml:space="preserve">publiczną usługę </w:t>
            </w:r>
            <w:r w:rsidRPr="00052A6C">
              <w:rPr>
                <w:rFonts w:ascii="Times New Roman" w:hAnsi="Times New Roman" w:cs="Times New Roman"/>
                <w:b/>
                <w:sz w:val="24"/>
                <w:szCs w:val="24"/>
                <w:u w:val="single"/>
              </w:rPr>
              <w:t>rejestrowane</w:t>
            </w:r>
            <w:r w:rsidR="00007EB9" w:rsidRPr="00052A6C">
              <w:rPr>
                <w:rFonts w:ascii="Times New Roman" w:hAnsi="Times New Roman" w:cs="Times New Roman"/>
                <w:b/>
                <w:sz w:val="24"/>
                <w:szCs w:val="24"/>
                <w:u w:val="single"/>
              </w:rPr>
              <w:t>go</w:t>
            </w:r>
            <w:r w:rsidRPr="00052A6C">
              <w:rPr>
                <w:rFonts w:ascii="Times New Roman" w:hAnsi="Times New Roman" w:cs="Times New Roman"/>
                <w:b/>
                <w:sz w:val="24"/>
                <w:szCs w:val="24"/>
                <w:u w:val="single"/>
              </w:rPr>
              <w:t xml:space="preserve"> doręczenia elektroniczne</w:t>
            </w:r>
            <w:r w:rsidR="00007EB9" w:rsidRPr="00052A6C">
              <w:rPr>
                <w:rFonts w:ascii="Times New Roman" w:hAnsi="Times New Roman" w:cs="Times New Roman"/>
                <w:b/>
                <w:sz w:val="24"/>
                <w:szCs w:val="24"/>
                <w:u w:val="single"/>
              </w:rPr>
              <w:t>go oraz</w:t>
            </w:r>
            <w:r w:rsidRPr="00052A6C">
              <w:rPr>
                <w:rFonts w:ascii="Times New Roman" w:hAnsi="Times New Roman" w:cs="Times New Roman"/>
                <w:b/>
                <w:sz w:val="24"/>
                <w:szCs w:val="24"/>
                <w:u w:val="single"/>
              </w:rPr>
              <w:t xml:space="preserve"> </w:t>
            </w:r>
            <w:r w:rsidR="00520B97" w:rsidRPr="00052A6C">
              <w:rPr>
                <w:rFonts w:ascii="Times New Roman" w:hAnsi="Times New Roman" w:cs="Times New Roman"/>
                <w:b/>
                <w:sz w:val="24"/>
                <w:szCs w:val="24"/>
                <w:u w:val="single"/>
              </w:rPr>
              <w:t xml:space="preserve">za publiczną usługę hybrydową </w:t>
            </w:r>
            <w:r w:rsidR="00007EB9" w:rsidRPr="00052A6C">
              <w:rPr>
                <w:rFonts w:ascii="Times New Roman" w:hAnsi="Times New Roman" w:cs="Times New Roman"/>
                <w:b/>
                <w:sz w:val="24"/>
                <w:szCs w:val="24"/>
                <w:u w:val="single"/>
              </w:rPr>
              <w:t>w</w:t>
            </w:r>
            <w:r w:rsidR="00520B97" w:rsidRPr="00052A6C">
              <w:rPr>
                <w:rFonts w:ascii="Times New Roman" w:hAnsi="Times New Roman" w:cs="Times New Roman"/>
                <w:b/>
                <w:sz w:val="24"/>
                <w:szCs w:val="24"/>
                <w:u w:val="single"/>
              </w:rPr>
              <w:t xml:space="preserve">raz </w:t>
            </w:r>
            <w:r w:rsidR="00007EB9" w:rsidRPr="00052A6C">
              <w:rPr>
                <w:rFonts w:ascii="Times New Roman" w:hAnsi="Times New Roman" w:cs="Times New Roman"/>
                <w:b/>
                <w:sz w:val="24"/>
                <w:szCs w:val="24"/>
                <w:u w:val="single"/>
              </w:rPr>
              <w:t xml:space="preserve">z </w:t>
            </w:r>
            <w:r w:rsidR="00520B97" w:rsidRPr="00052A6C">
              <w:rPr>
                <w:rFonts w:ascii="Times New Roman" w:hAnsi="Times New Roman" w:cs="Times New Roman"/>
                <w:b/>
                <w:sz w:val="24"/>
                <w:szCs w:val="24"/>
                <w:u w:val="single"/>
              </w:rPr>
              <w:t>opłat</w:t>
            </w:r>
            <w:r w:rsidR="00007EB9" w:rsidRPr="00052A6C">
              <w:rPr>
                <w:rFonts w:ascii="Times New Roman" w:hAnsi="Times New Roman" w:cs="Times New Roman"/>
                <w:b/>
                <w:sz w:val="24"/>
                <w:szCs w:val="24"/>
                <w:u w:val="single"/>
              </w:rPr>
              <w:t>ą</w:t>
            </w:r>
            <w:r w:rsidR="00520B97" w:rsidRPr="00052A6C">
              <w:rPr>
                <w:rFonts w:ascii="Times New Roman" w:hAnsi="Times New Roman" w:cs="Times New Roman"/>
                <w:b/>
                <w:sz w:val="24"/>
                <w:szCs w:val="24"/>
                <w:u w:val="single"/>
              </w:rPr>
              <w:t xml:space="preserve"> stał</w:t>
            </w:r>
            <w:r w:rsidR="00007EB9" w:rsidRPr="00052A6C">
              <w:rPr>
                <w:rFonts w:ascii="Times New Roman" w:hAnsi="Times New Roman" w:cs="Times New Roman"/>
                <w:b/>
                <w:sz w:val="24"/>
                <w:szCs w:val="24"/>
                <w:u w:val="single"/>
              </w:rPr>
              <w:t>ą dla operatora wyznaczonego</w:t>
            </w:r>
            <w:r w:rsidR="00520B97" w:rsidRPr="00052A6C">
              <w:rPr>
                <w:rFonts w:ascii="Times New Roman" w:hAnsi="Times New Roman" w:cs="Times New Roman"/>
                <w:b/>
                <w:sz w:val="24"/>
                <w:szCs w:val="24"/>
                <w:u w:val="single"/>
              </w:rPr>
              <w:t xml:space="preserve"> (</w:t>
            </w:r>
            <w:r w:rsidR="00123103" w:rsidRPr="00052A6C">
              <w:rPr>
                <w:rFonts w:ascii="Times New Roman" w:hAnsi="Times New Roman" w:cs="Times New Roman"/>
                <w:b/>
                <w:sz w:val="24"/>
                <w:szCs w:val="24"/>
                <w:u w:val="single"/>
              </w:rPr>
              <w:t>planowaną do</w:t>
            </w:r>
            <w:r w:rsidR="00520B97" w:rsidRPr="00052A6C">
              <w:rPr>
                <w:rFonts w:ascii="Times New Roman" w:hAnsi="Times New Roman" w:cs="Times New Roman"/>
                <w:b/>
                <w:sz w:val="24"/>
                <w:szCs w:val="24"/>
                <w:u w:val="single"/>
              </w:rPr>
              <w:t xml:space="preserve"> wprowadz</w:t>
            </w:r>
            <w:r w:rsidR="00123103" w:rsidRPr="00052A6C">
              <w:rPr>
                <w:rFonts w:ascii="Times New Roman" w:hAnsi="Times New Roman" w:cs="Times New Roman"/>
                <w:b/>
                <w:sz w:val="24"/>
                <w:szCs w:val="24"/>
                <w:u w:val="single"/>
              </w:rPr>
              <w:t>enia</w:t>
            </w:r>
            <w:r w:rsidR="00520B97" w:rsidRPr="00052A6C">
              <w:rPr>
                <w:rFonts w:ascii="Times New Roman" w:hAnsi="Times New Roman" w:cs="Times New Roman"/>
                <w:b/>
                <w:sz w:val="24"/>
                <w:szCs w:val="24"/>
                <w:u w:val="single"/>
              </w:rPr>
              <w:t xml:space="preserve"> w okresie przejściowym), zostaną określone po zakończeniu uzgodnień międzyresortowych projektu ustawy oraz prac koncepcyjnych w zakresie rozwiązań technicznych i organizacyjnych</w:t>
            </w:r>
            <w:r w:rsidRPr="00052A6C">
              <w:rPr>
                <w:rFonts w:ascii="Times New Roman" w:hAnsi="Times New Roman" w:cs="Times New Roman"/>
                <w:b/>
                <w:sz w:val="24"/>
                <w:szCs w:val="24"/>
                <w:u w:val="single"/>
              </w:rPr>
              <w:t>.</w:t>
            </w:r>
          </w:p>
          <w:p w14:paraId="4FBFA106" w14:textId="77777777" w:rsidR="003A6F7A" w:rsidRPr="00052A6C" w:rsidRDefault="003A6F7A" w:rsidP="00277F6C">
            <w:pPr>
              <w:jc w:val="both"/>
              <w:rPr>
                <w:rFonts w:ascii="Times New Roman" w:hAnsi="Times New Roman" w:cs="Times New Roman"/>
                <w:sz w:val="24"/>
                <w:szCs w:val="24"/>
                <w:u w:val="single"/>
              </w:rPr>
            </w:pPr>
          </w:p>
          <w:p w14:paraId="05914DF5" w14:textId="77777777" w:rsidR="003A6F7A" w:rsidRPr="00052A6C" w:rsidRDefault="003A6F7A" w:rsidP="00277F6C">
            <w:pPr>
              <w:pStyle w:val="Akapitzlist"/>
              <w:numPr>
                <w:ilvl w:val="0"/>
                <w:numId w:val="6"/>
              </w:numPr>
              <w:spacing w:after="120"/>
              <w:ind w:left="346" w:hanging="283"/>
              <w:contextualSpacing w:val="0"/>
              <w:jc w:val="both"/>
              <w:rPr>
                <w:rFonts w:ascii="Times New Roman" w:hAnsi="Times New Roman" w:cs="Times New Roman"/>
                <w:sz w:val="24"/>
                <w:szCs w:val="24"/>
                <w:u w:val="single"/>
              </w:rPr>
            </w:pPr>
            <w:r w:rsidRPr="00052A6C">
              <w:rPr>
                <w:rFonts w:ascii="Times New Roman" w:hAnsi="Times New Roman" w:cs="Times New Roman"/>
                <w:sz w:val="24"/>
                <w:szCs w:val="24"/>
                <w:u w:val="single"/>
              </w:rPr>
              <w:t>Szacowana oszczędność podmiotów publicznych</w:t>
            </w:r>
          </w:p>
          <w:p w14:paraId="32685D43" w14:textId="77777777" w:rsidR="003A6F7A" w:rsidRPr="00052A6C" w:rsidRDefault="003A6F7A" w:rsidP="00277F6C">
            <w:pPr>
              <w:spacing w:after="120"/>
              <w:jc w:val="both"/>
              <w:rPr>
                <w:rFonts w:ascii="Times New Roman" w:hAnsi="Times New Roman" w:cs="Times New Roman"/>
                <w:sz w:val="24"/>
                <w:szCs w:val="24"/>
              </w:rPr>
            </w:pPr>
            <w:r w:rsidRPr="00052A6C">
              <w:rPr>
                <w:rFonts w:ascii="Times New Roman" w:hAnsi="Times New Roman" w:cs="Times New Roman"/>
                <w:sz w:val="24"/>
                <w:szCs w:val="24"/>
              </w:rPr>
              <w:t>Zgodnie z danymi wyznaczonego operatora pocztowego dotyczącymi nadań przesyłek rejestrowanych z potwierdzeniem odbioru szacuje się, że podmioty publiczne zrealizowałyby w 2025 r. około 119 mln przesyłek rejestrowanych z potwierdzeniem odbioru. Przy zakładanym do osiągnięcia w 2025 roku wolumenie przesyłek rejestrowanych z potwierdzeniem odbioru</w:t>
            </w:r>
            <w:r w:rsidRPr="00052A6C" w:rsidDel="004767FA">
              <w:rPr>
                <w:rFonts w:ascii="Times New Roman" w:hAnsi="Times New Roman" w:cs="Times New Roman"/>
                <w:sz w:val="24"/>
                <w:szCs w:val="24"/>
              </w:rPr>
              <w:t xml:space="preserve"> </w:t>
            </w:r>
            <w:r w:rsidRPr="00052A6C">
              <w:rPr>
                <w:rFonts w:ascii="Times New Roman" w:hAnsi="Times New Roman" w:cs="Times New Roman"/>
                <w:sz w:val="24"/>
                <w:szCs w:val="24"/>
              </w:rPr>
              <w:t xml:space="preserve">na poziomie 119 mln szt. oraz współczynniku deklaracji cyfrowości obywateli i podmiotów niepublicznych na poziomie 30%, oszczędności podmiotów publicznych </w:t>
            </w:r>
            <w:r w:rsidR="00DB63E7" w:rsidRPr="00052A6C">
              <w:rPr>
                <w:rFonts w:ascii="Times New Roman" w:hAnsi="Times New Roman" w:cs="Times New Roman"/>
                <w:sz w:val="24"/>
                <w:szCs w:val="24"/>
              </w:rPr>
              <w:t xml:space="preserve">z tytułu opłaty za przesyłki </w:t>
            </w:r>
            <w:r w:rsidRPr="00052A6C">
              <w:rPr>
                <w:rFonts w:ascii="Times New Roman" w:hAnsi="Times New Roman" w:cs="Times New Roman"/>
                <w:sz w:val="24"/>
                <w:szCs w:val="24"/>
              </w:rPr>
              <w:t>wyniosą ponad 160 mln zł.</w:t>
            </w:r>
            <w:r w:rsidRPr="00052A6C">
              <w:rPr>
                <w:rStyle w:val="Odwoanieprzypisudolnego"/>
                <w:rFonts w:ascii="Times New Roman" w:hAnsi="Times New Roman" w:cs="Times New Roman"/>
                <w:sz w:val="24"/>
                <w:szCs w:val="24"/>
              </w:rPr>
              <w:footnoteReference w:id="17"/>
            </w:r>
            <w:r w:rsidRPr="00052A6C">
              <w:rPr>
                <w:rFonts w:ascii="Times New Roman" w:hAnsi="Times New Roman" w:cs="Times New Roman"/>
                <w:sz w:val="24"/>
                <w:szCs w:val="24"/>
              </w:rPr>
              <w:t xml:space="preserve"> </w:t>
            </w:r>
          </w:p>
          <w:p w14:paraId="68CEA216" w14:textId="77777777" w:rsidR="009046D4" w:rsidRPr="00052A6C" w:rsidRDefault="00DB63E7" w:rsidP="00277F6C">
            <w:pPr>
              <w:jc w:val="both"/>
              <w:rPr>
                <w:rFonts w:ascii="Times New Roman" w:hAnsi="Times New Roman" w:cs="Times New Roman"/>
                <w:sz w:val="24"/>
                <w:szCs w:val="24"/>
              </w:rPr>
            </w:pPr>
            <w:r w:rsidRPr="00052A6C">
              <w:rPr>
                <w:rFonts w:ascii="Times New Roman" w:hAnsi="Times New Roman" w:cs="Times New Roman"/>
                <w:sz w:val="24"/>
                <w:szCs w:val="24"/>
              </w:rPr>
              <w:t>Ponadto p</w:t>
            </w:r>
            <w:r w:rsidR="009046D4" w:rsidRPr="00052A6C">
              <w:rPr>
                <w:rFonts w:ascii="Times New Roman" w:hAnsi="Times New Roman" w:cs="Times New Roman"/>
                <w:sz w:val="24"/>
                <w:szCs w:val="24"/>
              </w:rPr>
              <w:t>rzygotowanie wysyłki papierowej wymaga realizacji następujących czynności</w:t>
            </w:r>
            <w:r w:rsidR="00FF4A9B" w:rsidRPr="00052A6C">
              <w:rPr>
                <w:rFonts w:ascii="Times New Roman" w:hAnsi="Times New Roman" w:cs="Times New Roman"/>
                <w:sz w:val="24"/>
                <w:szCs w:val="24"/>
              </w:rPr>
              <w:t xml:space="preserve"> kancelaryjnych</w:t>
            </w:r>
            <w:r w:rsidR="009046D4" w:rsidRPr="00052A6C">
              <w:rPr>
                <w:rFonts w:ascii="Times New Roman" w:hAnsi="Times New Roman" w:cs="Times New Roman"/>
                <w:sz w:val="24"/>
                <w:szCs w:val="24"/>
              </w:rPr>
              <w:t>:</w:t>
            </w:r>
          </w:p>
          <w:p w14:paraId="5A2D2286" w14:textId="77777777" w:rsidR="009046D4" w:rsidRPr="00052A6C" w:rsidRDefault="00FF4A9B"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wydrukowanie,</w:t>
            </w:r>
          </w:p>
          <w:p w14:paraId="1092442D" w14:textId="77777777" w:rsidR="009046D4" w:rsidRPr="00052A6C" w:rsidRDefault="009046D4"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przekazanie do podpisania</w:t>
            </w:r>
            <w:r w:rsidR="00FF4A9B" w:rsidRPr="00052A6C">
              <w:rPr>
                <w:rFonts w:ascii="Times New Roman" w:hAnsi="Times New Roman" w:cs="Times New Roman"/>
                <w:sz w:val="24"/>
                <w:szCs w:val="24"/>
              </w:rPr>
              <w:t>,</w:t>
            </w:r>
          </w:p>
          <w:p w14:paraId="564E2F7D" w14:textId="77777777" w:rsidR="009046D4" w:rsidRPr="00052A6C" w:rsidRDefault="009046D4"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przekazanie do wysyłki</w:t>
            </w:r>
            <w:r w:rsidR="00FF4A9B" w:rsidRPr="00052A6C">
              <w:rPr>
                <w:rFonts w:ascii="Times New Roman" w:hAnsi="Times New Roman" w:cs="Times New Roman"/>
                <w:sz w:val="24"/>
                <w:szCs w:val="24"/>
              </w:rPr>
              <w:t>,</w:t>
            </w:r>
          </w:p>
          <w:p w14:paraId="1080B0A5" w14:textId="77777777" w:rsidR="009046D4" w:rsidRPr="00052A6C" w:rsidRDefault="009046D4" w:rsidP="00277F6C">
            <w:pPr>
              <w:pStyle w:val="Akapitzlist"/>
              <w:numPr>
                <w:ilvl w:val="0"/>
                <w:numId w:val="40"/>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kopertowanie</w:t>
            </w:r>
            <w:r w:rsidR="00FF4A9B" w:rsidRPr="00052A6C">
              <w:rPr>
                <w:rFonts w:ascii="Times New Roman" w:hAnsi="Times New Roman" w:cs="Times New Roman"/>
                <w:sz w:val="24"/>
                <w:szCs w:val="24"/>
              </w:rPr>
              <w:t>,</w:t>
            </w:r>
          </w:p>
          <w:p w14:paraId="34056270" w14:textId="77777777" w:rsidR="009046D4" w:rsidRPr="00052A6C" w:rsidRDefault="009046D4" w:rsidP="00277F6C">
            <w:pPr>
              <w:pStyle w:val="Akapitzlist"/>
              <w:numPr>
                <w:ilvl w:val="0"/>
                <w:numId w:val="40"/>
              </w:numPr>
              <w:spacing w:after="120"/>
              <w:ind w:left="714" w:hanging="357"/>
              <w:contextualSpacing w:val="0"/>
              <w:jc w:val="both"/>
              <w:rPr>
                <w:rFonts w:ascii="Times New Roman" w:hAnsi="Times New Roman" w:cs="Times New Roman"/>
                <w:sz w:val="24"/>
                <w:szCs w:val="24"/>
              </w:rPr>
            </w:pPr>
            <w:r w:rsidRPr="00052A6C">
              <w:rPr>
                <w:rFonts w:ascii="Times New Roman" w:hAnsi="Times New Roman" w:cs="Times New Roman"/>
                <w:sz w:val="24"/>
                <w:szCs w:val="24"/>
              </w:rPr>
              <w:t>odebranie dowodu doręczenia i włączenie do akt sprawy</w:t>
            </w:r>
            <w:r w:rsidR="001B58A8" w:rsidRPr="00052A6C">
              <w:rPr>
                <w:rFonts w:ascii="Times New Roman" w:hAnsi="Times New Roman" w:cs="Times New Roman"/>
                <w:sz w:val="24"/>
                <w:szCs w:val="24"/>
              </w:rPr>
              <w:t>.</w:t>
            </w:r>
          </w:p>
          <w:p w14:paraId="4D9E3AE1" w14:textId="77777777" w:rsidR="00FF4A9B" w:rsidRPr="00052A6C" w:rsidRDefault="001B58A8" w:rsidP="00277F6C">
            <w:pPr>
              <w:jc w:val="both"/>
              <w:rPr>
                <w:rFonts w:ascii="Times New Roman" w:hAnsi="Times New Roman" w:cs="Times New Roman"/>
                <w:sz w:val="24"/>
                <w:szCs w:val="24"/>
              </w:rPr>
            </w:pPr>
            <w:r w:rsidRPr="00052A6C">
              <w:rPr>
                <w:rFonts w:ascii="Times New Roman" w:hAnsi="Times New Roman" w:cs="Times New Roman"/>
                <w:sz w:val="24"/>
                <w:szCs w:val="24"/>
              </w:rPr>
              <w:t>N</w:t>
            </w:r>
            <w:r w:rsidR="00FF4A9B" w:rsidRPr="00052A6C">
              <w:rPr>
                <w:rFonts w:ascii="Times New Roman" w:hAnsi="Times New Roman" w:cs="Times New Roman"/>
                <w:sz w:val="24"/>
                <w:szCs w:val="24"/>
              </w:rPr>
              <w:t>a koszt tych czynności składają się koszty wydruku oraz koszty czasu pracy</w:t>
            </w:r>
            <w:r w:rsidRPr="00052A6C">
              <w:rPr>
                <w:rFonts w:ascii="Times New Roman" w:hAnsi="Times New Roman" w:cs="Times New Roman"/>
                <w:sz w:val="24"/>
                <w:szCs w:val="24"/>
              </w:rPr>
              <w:t>,</w:t>
            </w:r>
            <w:r w:rsidR="00FF4A9B" w:rsidRPr="00052A6C">
              <w:rPr>
                <w:rFonts w:ascii="Times New Roman" w:hAnsi="Times New Roman" w:cs="Times New Roman"/>
                <w:sz w:val="24"/>
                <w:szCs w:val="24"/>
              </w:rPr>
              <w:t xml:space="preserve"> które nie </w:t>
            </w:r>
            <w:r w:rsidR="00FF4A9B" w:rsidRPr="00052A6C">
              <w:rPr>
                <w:rFonts w:ascii="Times New Roman" w:hAnsi="Times New Roman" w:cs="Times New Roman"/>
                <w:sz w:val="24"/>
                <w:szCs w:val="24"/>
              </w:rPr>
              <w:lastRenderedPageBreak/>
              <w:t>wystąpią w przypadku przesyłki elektronicznej.</w:t>
            </w:r>
          </w:p>
          <w:p w14:paraId="4A459B8F" w14:textId="77777777" w:rsidR="00F35E6B" w:rsidRPr="00052A6C" w:rsidRDefault="00FF4A9B" w:rsidP="00277F6C">
            <w:pPr>
              <w:jc w:val="both"/>
              <w:rPr>
                <w:rFonts w:ascii="Times New Roman" w:hAnsi="Times New Roman" w:cs="Times New Roman"/>
                <w:sz w:val="24"/>
                <w:szCs w:val="24"/>
              </w:rPr>
            </w:pPr>
            <w:r w:rsidRPr="00052A6C">
              <w:rPr>
                <w:rFonts w:ascii="Times New Roman" w:hAnsi="Times New Roman" w:cs="Times New Roman"/>
                <w:sz w:val="24"/>
                <w:szCs w:val="24"/>
              </w:rPr>
              <w:t>Przyjmując</w:t>
            </w:r>
            <w:r w:rsidR="006507C0" w:rsidRPr="00052A6C">
              <w:rPr>
                <w:rFonts w:ascii="Times New Roman" w:hAnsi="Times New Roman" w:cs="Times New Roman"/>
                <w:sz w:val="24"/>
                <w:szCs w:val="24"/>
              </w:rPr>
              <w:t>,</w:t>
            </w:r>
            <w:r w:rsidRPr="00052A6C">
              <w:rPr>
                <w:rFonts w:ascii="Times New Roman" w:hAnsi="Times New Roman" w:cs="Times New Roman"/>
                <w:sz w:val="24"/>
                <w:szCs w:val="24"/>
              </w:rPr>
              <w:t xml:space="preserve"> że</w:t>
            </w:r>
            <w:r w:rsidR="00F35E6B" w:rsidRPr="00052A6C">
              <w:rPr>
                <w:rFonts w:ascii="Times New Roman" w:hAnsi="Times New Roman" w:cs="Times New Roman"/>
                <w:sz w:val="24"/>
                <w:szCs w:val="24"/>
              </w:rPr>
              <w:t>:</w:t>
            </w:r>
          </w:p>
          <w:p w14:paraId="6B6DA446" w14:textId="77777777" w:rsidR="00F35E6B" w:rsidRPr="00052A6C" w:rsidRDefault="00FF4A9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 wydruku jednej strony pisma </w:t>
            </w:r>
            <w:r w:rsidR="001B58A8" w:rsidRPr="00052A6C">
              <w:rPr>
                <w:rFonts w:ascii="Times New Roman" w:hAnsi="Times New Roman" w:cs="Times New Roman"/>
                <w:sz w:val="24"/>
                <w:szCs w:val="24"/>
              </w:rPr>
              <w:t>wynosi</w:t>
            </w:r>
            <w:r w:rsidRPr="00052A6C">
              <w:rPr>
                <w:rFonts w:ascii="Times New Roman" w:hAnsi="Times New Roman" w:cs="Times New Roman"/>
                <w:sz w:val="24"/>
                <w:szCs w:val="24"/>
              </w:rPr>
              <w:t xml:space="preserve"> 5 groszy</w:t>
            </w:r>
            <w:r w:rsidR="009D4362" w:rsidRPr="00052A6C">
              <w:rPr>
                <w:rFonts w:ascii="Times New Roman" w:hAnsi="Times New Roman" w:cs="Times New Roman"/>
                <w:sz w:val="24"/>
                <w:szCs w:val="24"/>
              </w:rPr>
              <w:t>,</w:t>
            </w:r>
          </w:p>
          <w:p w14:paraId="6843FDC6" w14:textId="77777777" w:rsidR="00F35E6B" w:rsidRPr="00052A6C" w:rsidRDefault="00FF4A9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jedna przesyłka zawiera </w:t>
            </w:r>
            <w:r w:rsidR="001B58A8" w:rsidRPr="00052A6C">
              <w:rPr>
                <w:rFonts w:ascii="Times New Roman" w:hAnsi="Times New Roman" w:cs="Times New Roman"/>
                <w:sz w:val="24"/>
                <w:szCs w:val="24"/>
              </w:rPr>
              <w:t xml:space="preserve">średnio </w:t>
            </w:r>
            <w:r w:rsidRPr="00052A6C">
              <w:rPr>
                <w:rFonts w:ascii="Times New Roman" w:hAnsi="Times New Roman" w:cs="Times New Roman"/>
                <w:sz w:val="24"/>
                <w:szCs w:val="24"/>
              </w:rPr>
              <w:t>5 stron</w:t>
            </w:r>
            <w:r w:rsidR="001B58A8" w:rsidRPr="00052A6C">
              <w:rPr>
                <w:rFonts w:ascii="Times New Roman" w:hAnsi="Times New Roman" w:cs="Times New Roman"/>
                <w:sz w:val="24"/>
                <w:szCs w:val="24"/>
              </w:rPr>
              <w:t>,</w:t>
            </w:r>
            <w:r w:rsidRPr="00052A6C">
              <w:rPr>
                <w:rFonts w:ascii="Times New Roman" w:hAnsi="Times New Roman" w:cs="Times New Roman"/>
                <w:sz w:val="24"/>
                <w:szCs w:val="24"/>
              </w:rPr>
              <w:t xml:space="preserve"> </w:t>
            </w:r>
            <w:r w:rsidR="00F35E6B" w:rsidRPr="00052A6C">
              <w:rPr>
                <w:rFonts w:ascii="Times New Roman" w:hAnsi="Times New Roman" w:cs="Times New Roman"/>
                <w:sz w:val="24"/>
                <w:szCs w:val="24"/>
              </w:rPr>
              <w:t xml:space="preserve">co oznacza </w:t>
            </w:r>
            <w:r w:rsidR="001B58A8" w:rsidRPr="00052A6C">
              <w:rPr>
                <w:rFonts w:ascii="Times New Roman" w:hAnsi="Times New Roman" w:cs="Times New Roman"/>
                <w:sz w:val="24"/>
                <w:szCs w:val="24"/>
              </w:rPr>
              <w:t xml:space="preserve">konieczność </w:t>
            </w:r>
            <w:r w:rsidR="00F35E6B" w:rsidRPr="00052A6C">
              <w:rPr>
                <w:rFonts w:ascii="Times New Roman" w:hAnsi="Times New Roman" w:cs="Times New Roman"/>
                <w:sz w:val="24"/>
                <w:szCs w:val="24"/>
              </w:rPr>
              <w:t>wydrukowani</w:t>
            </w:r>
            <w:r w:rsidR="001B58A8" w:rsidRPr="00052A6C">
              <w:rPr>
                <w:rFonts w:ascii="Times New Roman" w:hAnsi="Times New Roman" w:cs="Times New Roman"/>
                <w:sz w:val="24"/>
                <w:szCs w:val="24"/>
              </w:rPr>
              <w:t>a</w:t>
            </w:r>
            <w:r w:rsidR="00F35E6B" w:rsidRPr="00052A6C">
              <w:rPr>
                <w:rFonts w:ascii="Times New Roman" w:hAnsi="Times New Roman" w:cs="Times New Roman"/>
                <w:sz w:val="24"/>
                <w:szCs w:val="24"/>
              </w:rPr>
              <w:t xml:space="preserve"> </w:t>
            </w:r>
            <w:r w:rsidR="001B58A8" w:rsidRPr="00052A6C">
              <w:rPr>
                <w:rFonts w:ascii="Times New Roman" w:hAnsi="Times New Roman" w:cs="Times New Roman"/>
                <w:sz w:val="24"/>
                <w:szCs w:val="24"/>
              </w:rPr>
              <w:t xml:space="preserve">co najmniej </w:t>
            </w:r>
            <w:r w:rsidR="00F35E6B" w:rsidRPr="00052A6C">
              <w:rPr>
                <w:rFonts w:ascii="Times New Roman" w:hAnsi="Times New Roman" w:cs="Times New Roman"/>
                <w:sz w:val="24"/>
                <w:szCs w:val="24"/>
              </w:rPr>
              <w:t>10 stron</w:t>
            </w:r>
            <w:r w:rsidR="006507C0" w:rsidRPr="00052A6C">
              <w:rPr>
                <w:rFonts w:ascii="Times New Roman" w:hAnsi="Times New Roman" w:cs="Times New Roman"/>
                <w:sz w:val="24"/>
                <w:szCs w:val="24"/>
              </w:rPr>
              <w:t xml:space="preserve"> </w:t>
            </w:r>
            <w:r w:rsidR="001B58A8" w:rsidRPr="00052A6C">
              <w:rPr>
                <w:rFonts w:ascii="Times New Roman" w:hAnsi="Times New Roman" w:cs="Times New Roman"/>
                <w:sz w:val="24"/>
                <w:szCs w:val="24"/>
              </w:rPr>
              <w:t>(egzemplarz do wysłania oraz kopia pozostawiana w</w:t>
            </w:r>
            <w:r w:rsidR="004E6DF3" w:rsidRPr="00052A6C">
              <w:rPr>
                <w:rFonts w:ascii="Times New Roman" w:hAnsi="Times New Roman" w:cs="Times New Roman"/>
                <w:sz w:val="24"/>
                <w:szCs w:val="24"/>
              </w:rPr>
              <w:t> </w:t>
            </w:r>
            <w:r w:rsidR="001B58A8" w:rsidRPr="00052A6C">
              <w:rPr>
                <w:rFonts w:ascii="Times New Roman" w:hAnsi="Times New Roman" w:cs="Times New Roman"/>
                <w:sz w:val="24"/>
                <w:szCs w:val="24"/>
              </w:rPr>
              <w:t>aktach sprawy</w:t>
            </w:r>
            <w:r w:rsidR="00F35E6B" w:rsidRPr="00052A6C">
              <w:rPr>
                <w:rFonts w:ascii="Times New Roman" w:hAnsi="Times New Roman" w:cs="Times New Roman"/>
                <w:sz w:val="24"/>
                <w:szCs w:val="24"/>
              </w:rPr>
              <w:t>)</w:t>
            </w:r>
            <w:r w:rsidR="009D4362" w:rsidRPr="00052A6C">
              <w:rPr>
                <w:rFonts w:ascii="Times New Roman" w:hAnsi="Times New Roman" w:cs="Times New Roman"/>
                <w:sz w:val="24"/>
                <w:szCs w:val="24"/>
              </w:rPr>
              <w:t>,</w:t>
            </w:r>
          </w:p>
          <w:p w14:paraId="136B87F3" w14:textId="77777777" w:rsidR="006F0059" w:rsidRPr="00052A6C" w:rsidRDefault="006F0059"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koszt koperty </w:t>
            </w:r>
            <w:r w:rsidR="001B58A8" w:rsidRPr="00052A6C">
              <w:rPr>
                <w:rFonts w:ascii="Times New Roman" w:hAnsi="Times New Roman" w:cs="Times New Roman"/>
                <w:sz w:val="24"/>
                <w:szCs w:val="24"/>
              </w:rPr>
              <w:t>wynosi</w:t>
            </w:r>
            <w:r w:rsidRPr="00052A6C">
              <w:rPr>
                <w:rFonts w:ascii="Times New Roman" w:hAnsi="Times New Roman" w:cs="Times New Roman"/>
                <w:sz w:val="24"/>
                <w:szCs w:val="24"/>
              </w:rPr>
              <w:t xml:space="preserve"> 10 gr,</w:t>
            </w:r>
          </w:p>
          <w:p w14:paraId="1F4B21C9" w14:textId="77777777" w:rsidR="009046D4" w:rsidRPr="00052A6C" w:rsidRDefault="00FF4A9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 xml:space="preserve">średni czas pracy poświęcony obsłudze jednej przesyłki w postaci papierowej </w:t>
            </w:r>
            <w:r w:rsidR="001B58A8" w:rsidRPr="00052A6C">
              <w:rPr>
                <w:rFonts w:ascii="Times New Roman" w:hAnsi="Times New Roman" w:cs="Times New Roman"/>
                <w:sz w:val="24"/>
                <w:szCs w:val="24"/>
              </w:rPr>
              <w:t>wynosi</w:t>
            </w:r>
            <w:r w:rsidRPr="00052A6C">
              <w:rPr>
                <w:rFonts w:ascii="Times New Roman" w:hAnsi="Times New Roman" w:cs="Times New Roman"/>
                <w:sz w:val="24"/>
                <w:szCs w:val="24"/>
              </w:rPr>
              <w:t xml:space="preserve"> </w:t>
            </w:r>
            <w:r w:rsidR="00F35E6B" w:rsidRPr="00052A6C">
              <w:rPr>
                <w:rFonts w:ascii="Times New Roman" w:hAnsi="Times New Roman" w:cs="Times New Roman"/>
                <w:sz w:val="24"/>
                <w:szCs w:val="24"/>
              </w:rPr>
              <w:t>10</w:t>
            </w:r>
            <w:r w:rsidR="009D4362" w:rsidRPr="00052A6C">
              <w:rPr>
                <w:rFonts w:ascii="Times New Roman" w:hAnsi="Times New Roman" w:cs="Times New Roman"/>
                <w:sz w:val="24"/>
                <w:szCs w:val="24"/>
              </w:rPr>
              <w:t xml:space="preserve"> minut,</w:t>
            </w:r>
          </w:p>
          <w:p w14:paraId="205BF1D1" w14:textId="77777777" w:rsidR="00F35E6B" w:rsidRPr="00052A6C" w:rsidRDefault="00F35E6B" w:rsidP="00277F6C">
            <w:pPr>
              <w:pStyle w:val="Akapitzlist"/>
              <w:numPr>
                <w:ilvl w:val="0"/>
                <w:numId w:val="39"/>
              </w:numPr>
              <w:contextualSpacing w:val="0"/>
              <w:jc w:val="both"/>
              <w:rPr>
                <w:rFonts w:ascii="Times New Roman" w:hAnsi="Times New Roman" w:cs="Times New Roman"/>
                <w:sz w:val="24"/>
                <w:szCs w:val="24"/>
              </w:rPr>
            </w:pPr>
            <w:r w:rsidRPr="00052A6C">
              <w:rPr>
                <w:rFonts w:ascii="Times New Roman" w:hAnsi="Times New Roman" w:cs="Times New Roman"/>
                <w:sz w:val="24"/>
                <w:szCs w:val="24"/>
              </w:rPr>
              <w:t>średnie wynagrodzenie miesięczne pracownika zatrudnionego w sektorze publicznym w 2016 r</w:t>
            </w:r>
            <w:r w:rsidR="001B58A8" w:rsidRPr="00052A6C">
              <w:rPr>
                <w:rFonts w:ascii="Times New Roman" w:hAnsi="Times New Roman" w:cs="Times New Roman"/>
                <w:sz w:val="24"/>
                <w:szCs w:val="24"/>
              </w:rPr>
              <w:t>.</w:t>
            </w:r>
            <w:r w:rsidRPr="00052A6C">
              <w:rPr>
                <w:rFonts w:ascii="Times New Roman" w:hAnsi="Times New Roman" w:cs="Times New Roman"/>
                <w:sz w:val="24"/>
                <w:szCs w:val="24"/>
              </w:rPr>
              <w:t xml:space="preserve"> wynosiło 4565 zł brutto</w:t>
            </w:r>
            <w:r w:rsidRPr="00052A6C">
              <w:rPr>
                <w:rStyle w:val="Odwoanieprzypisudolnego"/>
                <w:rFonts w:ascii="Times New Roman" w:hAnsi="Times New Roman" w:cs="Times New Roman"/>
                <w:sz w:val="24"/>
                <w:szCs w:val="24"/>
              </w:rPr>
              <w:footnoteReference w:id="18"/>
            </w:r>
            <w:r w:rsidR="009D4362" w:rsidRPr="00052A6C">
              <w:rPr>
                <w:rFonts w:ascii="Times New Roman" w:hAnsi="Times New Roman" w:cs="Times New Roman"/>
                <w:sz w:val="24"/>
                <w:szCs w:val="24"/>
              </w:rPr>
              <w:t>,</w:t>
            </w:r>
          </w:p>
          <w:p w14:paraId="02589195" w14:textId="77777777" w:rsidR="009046D4" w:rsidRPr="008C7038" w:rsidRDefault="00F35E6B" w:rsidP="00277F6C">
            <w:pPr>
              <w:jc w:val="both"/>
              <w:rPr>
                <w:rFonts w:ascii="Times New Roman" w:hAnsi="Times New Roman" w:cs="Times New Roman"/>
                <w:sz w:val="24"/>
                <w:szCs w:val="24"/>
              </w:rPr>
            </w:pPr>
            <w:r w:rsidRPr="00052A6C">
              <w:rPr>
                <w:rFonts w:ascii="Times New Roman" w:hAnsi="Times New Roman" w:cs="Times New Roman"/>
                <w:sz w:val="24"/>
                <w:szCs w:val="24"/>
              </w:rPr>
              <w:t>oszczędności z tytułu nieponiesienia tych kosztów</w:t>
            </w:r>
            <w:r w:rsidR="005F23C1" w:rsidRPr="00052A6C">
              <w:rPr>
                <w:rFonts w:ascii="Times New Roman" w:hAnsi="Times New Roman" w:cs="Times New Roman"/>
                <w:sz w:val="24"/>
                <w:szCs w:val="24"/>
              </w:rPr>
              <w:t>,</w:t>
            </w:r>
            <w:r w:rsidRPr="00052A6C">
              <w:rPr>
                <w:rFonts w:ascii="Times New Roman" w:hAnsi="Times New Roman" w:cs="Times New Roman"/>
                <w:sz w:val="24"/>
                <w:szCs w:val="24"/>
              </w:rPr>
              <w:t xml:space="preserve"> w przypadku gdyby w 2025 roku za pomocą usługi rejestrowanego doręczenia elektronicznego podmioty publiczne zre</w:t>
            </w:r>
            <w:r w:rsidRPr="007A1A74">
              <w:rPr>
                <w:rFonts w:ascii="Times New Roman" w:hAnsi="Times New Roman" w:cs="Times New Roman"/>
                <w:sz w:val="24"/>
                <w:szCs w:val="24"/>
              </w:rPr>
              <w:t>alizowałby założ</w:t>
            </w:r>
            <w:r w:rsidRPr="008C7038">
              <w:rPr>
                <w:rFonts w:ascii="Times New Roman" w:hAnsi="Times New Roman" w:cs="Times New Roman"/>
                <w:sz w:val="24"/>
                <w:szCs w:val="24"/>
              </w:rPr>
              <w:t xml:space="preserve">one 119 milionów przesyłek, wyniosłyby </w:t>
            </w:r>
            <w:r w:rsidR="006F0059" w:rsidRPr="008C7038">
              <w:rPr>
                <w:rFonts w:ascii="Times New Roman" w:hAnsi="Times New Roman" w:cs="Times New Roman"/>
                <w:sz w:val="24"/>
                <w:szCs w:val="24"/>
              </w:rPr>
              <w:t>około 61</w:t>
            </w:r>
            <w:r w:rsidRPr="008C7038">
              <w:rPr>
                <w:rFonts w:ascii="Times New Roman" w:hAnsi="Times New Roman" w:cs="Times New Roman"/>
                <w:sz w:val="24"/>
                <w:szCs w:val="24"/>
              </w:rPr>
              <w:t>0 milionów zł</w:t>
            </w:r>
            <w:r w:rsidRPr="008C7038">
              <w:rPr>
                <w:rStyle w:val="Odwoanieprzypisudolnego"/>
                <w:rFonts w:ascii="Times New Roman" w:hAnsi="Times New Roman" w:cs="Times New Roman"/>
                <w:sz w:val="24"/>
                <w:szCs w:val="24"/>
              </w:rPr>
              <w:footnoteReference w:id="19"/>
            </w:r>
          </w:p>
        </w:tc>
      </w:tr>
      <w:tr w:rsidR="00C7135B" w:rsidRPr="008C7038" w14:paraId="5FED3EE5" w14:textId="77777777" w:rsidTr="008C7038">
        <w:trPr>
          <w:gridAfter w:val="2"/>
          <w:wAfter w:w="124" w:type="dxa"/>
          <w:trHeight w:val="345"/>
        </w:trPr>
        <w:tc>
          <w:tcPr>
            <w:tcW w:w="10832" w:type="dxa"/>
            <w:gridSpan w:val="27"/>
            <w:shd w:val="clear" w:color="auto" w:fill="99CCFF"/>
          </w:tcPr>
          <w:p w14:paraId="10747D07" w14:textId="77777777" w:rsidR="00C7135B" w:rsidRPr="008C7038" w:rsidRDefault="00C7135B" w:rsidP="003B108C">
            <w:pPr>
              <w:numPr>
                <w:ilvl w:val="0"/>
                <w:numId w:val="1"/>
              </w:numPr>
              <w:spacing w:line="257" w:lineRule="auto"/>
              <w:rPr>
                <w:rFonts w:ascii="Times New Roman" w:hAnsi="Times New Roman" w:cs="Times New Roman"/>
                <w:b/>
                <w:spacing w:val="-2"/>
                <w:sz w:val="24"/>
                <w:szCs w:val="24"/>
              </w:rPr>
            </w:pPr>
            <w:r w:rsidRPr="008C7038">
              <w:rPr>
                <w:rFonts w:ascii="Times New Roman" w:hAnsi="Times New Roman" w:cs="Times New Roman"/>
                <w:b/>
                <w:spacing w:val="-2"/>
                <w:sz w:val="24"/>
                <w:szCs w:val="24"/>
              </w:rPr>
              <w:lastRenderedPageBreak/>
              <w:t xml:space="preserve">Wpływ na </w:t>
            </w:r>
            <w:r w:rsidRPr="008C7038">
              <w:rPr>
                <w:rFonts w:ascii="Times New Roman" w:hAnsi="Times New Roman" w:cs="Times New Roman"/>
                <w:b/>
                <w:sz w:val="24"/>
                <w:szCs w:val="24"/>
              </w:rPr>
              <w:t xml:space="preserve">konkurencyjność gospodarki i przedsiębiorczość, w tym funkcjonowanie przedsiębiorców oraz na rodzinę, obywateli i gospodarstwa domowe </w:t>
            </w:r>
          </w:p>
        </w:tc>
      </w:tr>
      <w:tr w:rsidR="00C7135B" w:rsidRPr="008C7038" w14:paraId="3A5E3AE0" w14:textId="77777777" w:rsidTr="008C7038">
        <w:trPr>
          <w:gridAfter w:val="2"/>
          <w:wAfter w:w="124" w:type="dxa"/>
          <w:trHeight w:val="142"/>
        </w:trPr>
        <w:tc>
          <w:tcPr>
            <w:tcW w:w="10832" w:type="dxa"/>
            <w:gridSpan w:val="27"/>
            <w:shd w:val="clear" w:color="auto" w:fill="FFFFFF"/>
          </w:tcPr>
          <w:p w14:paraId="2B92D0BA" w14:textId="77777777" w:rsidR="00C7135B" w:rsidRPr="008C7038" w:rsidRDefault="00C7135B" w:rsidP="003B108C">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Skutki</w:t>
            </w:r>
          </w:p>
        </w:tc>
      </w:tr>
      <w:tr w:rsidR="00C7135B" w:rsidRPr="008C7038" w14:paraId="147090B8" w14:textId="77777777" w:rsidTr="008C7038">
        <w:trPr>
          <w:trHeight w:val="142"/>
        </w:trPr>
        <w:tc>
          <w:tcPr>
            <w:tcW w:w="3686" w:type="dxa"/>
            <w:gridSpan w:val="7"/>
            <w:shd w:val="clear" w:color="auto" w:fill="FFFFFF"/>
          </w:tcPr>
          <w:p w14:paraId="4C056BE8"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Czas w latach od wejścia w życie zmian</w:t>
            </w:r>
          </w:p>
        </w:tc>
        <w:tc>
          <w:tcPr>
            <w:tcW w:w="1134" w:type="dxa"/>
            <w:gridSpan w:val="4"/>
            <w:shd w:val="clear" w:color="auto" w:fill="FFFFFF"/>
          </w:tcPr>
          <w:p w14:paraId="07097688"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0</w:t>
            </w:r>
          </w:p>
        </w:tc>
        <w:tc>
          <w:tcPr>
            <w:tcW w:w="993" w:type="dxa"/>
            <w:gridSpan w:val="4"/>
            <w:shd w:val="clear" w:color="auto" w:fill="FFFFFF"/>
          </w:tcPr>
          <w:p w14:paraId="1114EB51"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1</w:t>
            </w:r>
          </w:p>
        </w:tc>
        <w:tc>
          <w:tcPr>
            <w:tcW w:w="992" w:type="dxa"/>
            <w:gridSpan w:val="2"/>
            <w:shd w:val="clear" w:color="auto" w:fill="FFFFFF"/>
          </w:tcPr>
          <w:p w14:paraId="6A9446D5"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2</w:t>
            </w:r>
          </w:p>
        </w:tc>
        <w:tc>
          <w:tcPr>
            <w:tcW w:w="992" w:type="dxa"/>
            <w:gridSpan w:val="4"/>
            <w:shd w:val="clear" w:color="auto" w:fill="FFFFFF"/>
          </w:tcPr>
          <w:p w14:paraId="556E535C"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3</w:t>
            </w:r>
          </w:p>
        </w:tc>
        <w:tc>
          <w:tcPr>
            <w:tcW w:w="992" w:type="dxa"/>
            <w:gridSpan w:val="2"/>
            <w:shd w:val="clear" w:color="auto" w:fill="FFFFFF"/>
          </w:tcPr>
          <w:p w14:paraId="0480E58A"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5</w:t>
            </w:r>
          </w:p>
        </w:tc>
        <w:tc>
          <w:tcPr>
            <w:tcW w:w="993" w:type="dxa"/>
            <w:gridSpan w:val="2"/>
            <w:shd w:val="clear" w:color="auto" w:fill="FFFFFF"/>
          </w:tcPr>
          <w:p w14:paraId="5FF28EEF"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10</w:t>
            </w:r>
          </w:p>
        </w:tc>
        <w:tc>
          <w:tcPr>
            <w:tcW w:w="1174" w:type="dxa"/>
            <w:gridSpan w:val="4"/>
            <w:shd w:val="clear" w:color="auto" w:fill="FFFFFF"/>
          </w:tcPr>
          <w:p w14:paraId="776262AD" w14:textId="77777777" w:rsidR="00C7135B" w:rsidRPr="008C7038" w:rsidRDefault="00C7135B" w:rsidP="003B108C">
            <w:pPr>
              <w:spacing w:line="257" w:lineRule="auto"/>
              <w:rPr>
                <w:rFonts w:ascii="Times New Roman" w:hAnsi="Times New Roman" w:cs="Times New Roman"/>
                <w:i/>
                <w:spacing w:val="-2"/>
                <w:sz w:val="24"/>
                <w:szCs w:val="24"/>
              </w:rPr>
            </w:pPr>
            <w:r w:rsidRPr="008C7038">
              <w:rPr>
                <w:rFonts w:ascii="Times New Roman" w:hAnsi="Times New Roman" w:cs="Times New Roman"/>
                <w:i/>
                <w:spacing w:val="-2"/>
                <w:sz w:val="24"/>
                <w:szCs w:val="24"/>
              </w:rPr>
              <w:t>Łącznie</w:t>
            </w:r>
            <w:r w:rsidRPr="008C7038" w:rsidDel="0073273A">
              <w:rPr>
                <w:rFonts w:ascii="Times New Roman" w:hAnsi="Times New Roman" w:cs="Times New Roman"/>
                <w:i/>
                <w:spacing w:val="-2"/>
                <w:sz w:val="24"/>
                <w:szCs w:val="24"/>
              </w:rPr>
              <w:t xml:space="preserve"> </w:t>
            </w:r>
            <w:r w:rsidRPr="008C7038">
              <w:rPr>
                <w:rFonts w:ascii="Times New Roman" w:hAnsi="Times New Roman" w:cs="Times New Roman"/>
                <w:i/>
                <w:spacing w:val="-2"/>
                <w:sz w:val="24"/>
                <w:szCs w:val="24"/>
              </w:rPr>
              <w:t>(0-10)</w:t>
            </w:r>
          </w:p>
        </w:tc>
      </w:tr>
      <w:tr w:rsidR="00C7135B" w:rsidRPr="008C7038" w14:paraId="2E3C33E5" w14:textId="77777777" w:rsidTr="008C7038">
        <w:trPr>
          <w:trHeight w:val="142"/>
        </w:trPr>
        <w:tc>
          <w:tcPr>
            <w:tcW w:w="1571" w:type="dxa"/>
            <w:vMerge w:val="restart"/>
            <w:shd w:val="clear" w:color="auto" w:fill="FFFFFF"/>
          </w:tcPr>
          <w:p w14:paraId="3D6C9EB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W ujęciu pieniężnym</w:t>
            </w:r>
          </w:p>
          <w:p w14:paraId="0B118AFB" w14:textId="77777777" w:rsidR="00C7135B" w:rsidRPr="008C7038" w:rsidRDefault="00C7135B" w:rsidP="003B108C">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(w mln zł, </w:t>
            </w:r>
          </w:p>
          <w:p w14:paraId="3B0D7103"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pacing w:val="-2"/>
                <w:sz w:val="24"/>
                <w:szCs w:val="24"/>
              </w:rPr>
              <w:t>ceny stałe z 2018 r.)</w:t>
            </w:r>
          </w:p>
        </w:tc>
        <w:tc>
          <w:tcPr>
            <w:tcW w:w="2115" w:type="dxa"/>
            <w:gridSpan w:val="6"/>
            <w:shd w:val="clear" w:color="auto" w:fill="FFFFFF"/>
          </w:tcPr>
          <w:p w14:paraId="0DB551EA"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duże przedsiębiorstwa</w:t>
            </w:r>
          </w:p>
        </w:tc>
        <w:tc>
          <w:tcPr>
            <w:tcW w:w="1134" w:type="dxa"/>
            <w:gridSpan w:val="4"/>
            <w:shd w:val="clear" w:color="auto" w:fill="FFFFFF"/>
          </w:tcPr>
          <w:p w14:paraId="00143EFA"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Brak danych</w:t>
            </w:r>
          </w:p>
        </w:tc>
        <w:tc>
          <w:tcPr>
            <w:tcW w:w="993" w:type="dxa"/>
            <w:gridSpan w:val="4"/>
            <w:shd w:val="clear" w:color="auto" w:fill="FFFFFF"/>
          </w:tcPr>
          <w:p w14:paraId="23C09C71"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2F3E678E"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4"/>
            <w:shd w:val="clear" w:color="auto" w:fill="FFFFFF"/>
          </w:tcPr>
          <w:p w14:paraId="08178529"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095C2FD1" w14:textId="77777777" w:rsidR="00C7135B" w:rsidRPr="008C7038" w:rsidRDefault="00C7135B" w:rsidP="003B108C">
            <w:pPr>
              <w:spacing w:line="257" w:lineRule="auto"/>
              <w:rPr>
                <w:rFonts w:ascii="Times New Roman" w:hAnsi="Times New Roman" w:cs="Times New Roman"/>
                <w:sz w:val="24"/>
                <w:szCs w:val="24"/>
              </w:rPr>
            </w:pPr>
          </w:p>
        </w:tc>
        <w:tc>
          <w:tcPr>
            <w:tcW w:w="993" w:type="dxa"/>
            <w:gridSpan w:val="2"/>
            <w:shd w:val="clear" w:color="auto" w:fill="FFFFFF"/>
          </w:tcPr>
          <w:p w14:paraId="30A32810" w14:textId="77777777" w:rsidR="00C7135B" w:rsidRPr="008C7038" w:rsidRDefault="00C7135B" w:rsidP="003B108C">
            <w:pPr>
              <w:spacing w:line="257" w:lineRule="auto"/>
              <w:rPr>
                <w:rFonts w:ascii="Times New Roman" w:hAnsi="Times New Roman" w:cs="Times New Roman"/>
                <w:sz w:val="24"/>
                <w:szCs w:val="24"/>
              </w:rPr>
            </w:pPr>
          </w:p>
        </w:tc>
        <w:tc>
          <w:tcPr>
            <w:tcW w:w="1174" w:type="dxa"/>
            <w:gridSpan w:val="4"/>
            <w:shd w:val="clear" w:color="auto" w:fill="FFFFFF"/>
          </w:tcPr>
          <w:p w14:paraId="7E44BE0F" w14:textId="77777777" w:rsidR="00C7135B" w:rsidRPr="008C7038" w:rsidRDefault="00C7135B" w:rsidP="003B108C">
            <w:pPr>
              <w:spacing w:line="257" w:lineRule="auto"/>
              <w:rPr>
                <w:rFonts w:ascii="Times New Roman" w:hAnsi="Times New Roman" w:cs="Times New Roman"/>
                <w:spacing w:val="-2"/>
                <w:sz w:val="24"/>
                <w:szCs w:val="24"/>
              </w:rPr>
            </w:pPr>
          </w:p>
        </w:tc>
      </w:tr>
      <w:tr w:rsidR="00C7135B" w:rsidRPr="008C7038" w14:paraId="42CF93D4" w14:textId="77777777" w:rsidTr="008C7038">
        <w:trPr>
          <w:trHeight w:val="142"/>
        </w:trPr>
        <w:tc>
          <w:tcPr>
            <w:tcW w:w="1571" w:type="dxa"/>
            <w:vMerge/>
            <w:shd w:val="clear" w:color="auto" w:fill="FFFFFF"/>
          </w:tcPr>
          <w:p w14:paraId="569FA824"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46023FA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sektor mikro-, małych i średnich przedsiębiorstw</w:t>
            </w:r>
          </w:p>
        </w:tc>
        <w:tc>
          <w:tcPr>
            <w:tcW w:w="1134" w:type="dxa"/>
            <w:gridSpan w:val="4"/>
            <w:shd w:val="clear" w:color="auto" w:fill="FFFFFF"/>
          </w:tcPr>
          <w:p w14:paraId="5F50A39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Brak danych</w:t>
            </w:r>
          </w:p>
        </w:tc>
        <w:tc>
          <w:tcPr>
            <w:tcW w:w="993" w:type="dxa"/>
            <w:gridSpan w:val="4"/>
            <w:shd w:val="clear" w:color="auto" w:fill="FFFFFF"/>
          </w:tcPr>
          <w:p w14:paraId="33A09AFE"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3366D286"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4"/>
            <w:shd w:val="clear" w:color="auto" w:fill="FFFFFF"/>
          </w:tcPr>
          <w:p w14:paraId="0AA726C4"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4986D6A3" w14:textId="77777777" w:rsidR="00C7135B" w:rsidRPr="008C7038" w:rsidRDefault="00C7135B" w:rsidP="003B108C">
            <w:pPr>
              <w:spacing w:line="257" w:lineRule="auto"/>
              <w:rPr>
                <w:rFonts w:ascii="Times New Roman" w:hAnsi="Times New Roman" w:cs="Times New Roman"/>
                <w:sz w:val="24"/>
                <w:szCs w:val="24"/>
              </w:rPr>
            </w:pPr>
          </w:p>
        </w:tc>
        <w:tc>
          <w:tcPr>
            <w:tcW w:w="993" w:type="dxa"/>
            <w:gridSpan w:val="2"/>
            <w:shd w:val="clear" w:color="auto" w:fill="FFFFFF"/>
          </w:tcPr>
          <w:p w14:paraId="54E51636" w14:textId="77777777" w:rsidR="00C7135B" w:rsidRPr="008C7038" w:rsidRDefault="00C7135B" w:rsidP="003B108C">
            <w:pPr>
              <w:spacing w:line="257" w:lineRule="auto"/>
              <w:rPr>
                <w:rFonts w:ascii="Times New Roman" w:hAnsi="Times New Roman" w:cs="Times New Roman"/>
                <w:sz w:val="24"/>
                <w:szCs w:val="24"/>
              </w:rPr>
            </w:pPr>
          </w:p>
        </w:tc>
        <w:tc>
          <w:tcPr>
            <w:tcW w:w="1174" w:type="dxa"/>
            <w:gridSpan w:val="4"/>
            <w:shd w:val="clear" w:color="auto" w:fill="FFFFFF"/>
          </w:tcPr>
          <w:p w14:paraId="7391FE24" w14:textId="77777777" w:rsidR="00C7135B" w:rsidRPr="008C7038" w:rsidRDefault="00C7135B" w:rsidP="003B108C">
            <w:pPr>
              <w:spacing w:line="257" w:lineRule="auto"/>
              <w:rPr>
                <w:rFonts w:ascii="Times New Roman" w:hAnsi="Times New Roman" w:cs="Times New Roman"/>
                <w:spacing w:val="-2"/>
                <w:sz w:val="24"/>
                <w:szCs w:val="24"/>
              </w:rPr>
            </w:pPr>
          </w:p>
        </w:tc>
      </w:tr>
      <w:tr w:rsidR="00C7135B" w:rsidRPr="008C7038" w14:paraId="6676B9C0" w14:textId="77777777" w:rsidTr="008C7038">
        <w:trPr>
          <w:trHeight w:val="142"/>
        </w:trPr>
        <w:tc>
          <w:tcPr>
            <w:tcW w:w="1571" w:type="dxa"/>
            <w:vMerge/>
            <w:shd w:val="clear" w:color="auto" w:fill="FFFFFF"/>
          </w:tcPr>
          <w:p w14:paraId="30670375"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7AFC785E"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rodzina, obywatele oraz gospodarstwa domowe</w:t>
            </w:r>
          </w:p>
        </w:tc>
        <w:tc>
          <w:tcPr>
            <w:tcW w:w="1134" w:type="dxa"/>
            <w:gridSpan w:val="4"/>
            <w:shd w:val="clear" w:color="auto" w:fill="FFFFFF"/>
          </w:tcPr>
          <w:p w14:paraId="42A29852"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Brak danych</w:t>
            </w:r>
          </w:p>
        </w:tc>
        <w:tc>
          <w:tcPr>
            <w:tcW w:w="993" w:type="dxa"/>
            <w:gridSpan w:val="4"/>
            <w:shd w:val="clear" w:color="auto" w:fill="FFFFFF"/>
          </w:tcPr>
          <w:p w14:paraId="72BA6A76"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7493278D"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4"/>
            <w:shd w:val="clear" w:color="auto" w:fill="FFFFFF"/>
          </w:tcPr>
          <w:p w14:paraId="4C6141A3" w14:textId="77777777" w:rsidR="00C7135B" w:rsidRPr="008C7038" w:rsidRDefault="00C7135B" w:rsidP="003B108C">
            <w:pPr>
              <w:spacing w:line="257" w:lineRule="auto"/>
              <w:rPr>
                <w:rFonts w:ascii="Times New Roman" w:hAnsi="Times New Roman" w:cs="Times New Roman"/>
                <w:sz w:val="24"/>
                <w:szCs w:val="24"/>
              </w:rPr>
            </w:pPr>
          </w:p>
        </w:tc>
        <w:tc>
          <w:tcPr>
            <w:tcW w:w="992" w:type="dxa"/>
            <w:gridSpan w:val="2"/>
            <w:shd w:val="clear" w:color="auto" w:fill="FFFFFF"/>
          </w:tcPr>
          <w:p w14:paraId="4A1FD5F8" w14:textId="77777777" w:rsidR="00C7135B" w:rsidRPr="008C7038" w:rsidRDefault="00C7135B" w:rsidP="003B108C">
            <w:pPr>
              <w:spacing w:line="257" w:lineRule="auto"/>
              <w:rPr>
                <w:rFonts w:ascii="Times New Roman" w:hAnsi="Times New Roman" w:cs="Times New Roman"/>
                <w:sz w:val="24"/>
                <w:szCs w:val="24"/>
              </w:rPr>
            </w:pPr>
          </w:p>
        </w:tc>
        <w:tc>
          <w:tcPr>
            <w:tcW w:w="993" w:type="dxa"/>
            <w:gridSpan w:val="2"/>
            <w:shd w:val="clear" w:color="auto" w:fill="FFFFFF"/>
          </w:tcPr>
          <w:p w14:paraId="42605712" w14:textId="77777777" w:rsidR="00C7135B" w:rsidRPr="008C7038" w:rsidRDefault="00C7135B" w:rsidP="003B108C">
            <w:pPr>
              <w:spacing w:line="257" w:lineRule="auto"/>
              <w:rPr>
                <w:rFonts w:ascii="Times New Roman" w:hAnsi="Times New Roman" w:cs="Times New Roman"/>
                <w:sz w:val="24"/>
                <w:szCs w:val="24"/>
              </w:rPr>
            </w:pPr>
          </w:p>
        </w:tc>
        <w:tc>
          <w:tcPr>
            <w:tcW w:w="1174" w:type="dxa"/>
            <w:gridSpan w:val="4"/>
            <w:shd w:val="clear" w:color="auto" w:fill="FFFFFF"/>
          </w:tcPr>
          <w:p w14:paraId="04F92E6D" w14:textId="77777777" w:rsidR="00C7135B" w:rsidRPr="008C7038" w:rsidRDefault="00C7135B" w:rsidP="003B108C">
            <w:pPr>
              <w:spacing w:line="257" w:lineRule="auto"/>
              <w:rPr>
                <w:rFonts w:ascii="Times New Roman" w:hAnsi="Times New Roman" w:cs="Times New Roman"/>
                <w:spacing w:val="-2"/>
                <w:sz w:val="24"/>
                <w:szCs w:val="24"/>
              </w:rPr>
            </w:pPr>
          </w:p>
        </w:tc>
      </w:tr>
      <w:tr w:rsidR="00C7135B" w:rsidRPr="008C7038" w14:paraId="57C46B26" w14:textId="77777777" w:rsidTr="008C7038">
        <w:trPr>
          <w:trHeight w:val="142"/>
        </w:trPr>
        <w:tc>
          <w:tcPr>
            <w:tcW w:w="1571" w:type="dxa"/>
            <w:vMerge/>
            <w:shd w:val="clear" w:color="auto" w:fill="FFFFFF"/>
          </w:tcPr>
          <w:p w14:paraId="73C0F6C1"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4CC73B8E" w14:textId="77777777" w:rsidR="00C7135B" w:rsidRPr="008C7038" w:rsidRDefault="00C7135B" w:rsidP="003B108C">
            <w:pPr>
              <w:spacing w:line="257" w:lineRule="auto"/>
              <w:rPr>
                <w:rFonts w:ascii="Times New Roman" w:hAnsi="Times New Roman" w:cs="Times New Roman"/>
                <w:bCs/>
                <w:u w:val="single"/>
              </w:rPr>
            </w:pPr>
            <w:r w:rsidRPr="008C7038">
              <w:rPr>
                <w:rFonts w:ascii="Times New Roman" w:hAnsi="Times New Roman" w:cs="Times New Roman"/>
              </w:rPr>
              <w:t xml:space="preserve">zmiana przychodów Poczty Polskiej wynikających  ze </w:t>
            </w:r>
            <w:r w:rsidRPr="008C7038">
              <w:rPr>
                <w:rFonts w:ascii="Times New Roman" w:hAnsi="Times New Roman" w:cs="Times New Roman"/>
                <w:bCs/>
                <w:u w:val="single"/>
              </w:rPr>
              <w:t>scenariusza  realizacji usługi e-Doręczeń i publicznej usługi hybrydowej  z udziałem  Poczty Polskiej w realizacji usługi eDoręczeń</w:t>
            </w:r>
          </w:p>
          <w:p w14:paraId="124490BA" w14:textId="77777777" w:rsidR="00C7135B" w:rsidRPr="008C7038" w:rsidRDefault="00C7135B" w:rsidP="003B108C">
            <w:pPr>
              <w:spacing w:line="257" w:lineRule="auto"/>
              <w:rPr>
                <w:rFonts w:ascii="Times New Roman" w:hAnsi="Times New Roman" w:cs="Times New Roman"/>
                <w:sz w:val="24"/>
                <w:szCs w:val="24"/>
              </w:rPr>
            </w:pPr>
          </w:p>
        </w:tc>
        <w:tc>
          <w:tcPr>
            <w:tcW w:w="1134" w:type="dxa"/>
            <w:gridSpan w:val="4"/>
            <w:shd w:val="clear" w:color="auto" w:fill="FFFFFF"/>
          </w:tcPr>
          <w:p w14:paraId="6B70F6C0"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r w:rsidRPr="008C7038">
              <w:rPr>
                <w:rStyle w:val="Odwoanieprzypisudolnego"/>
                <w:rFonts w:ascii="Times New Roman" w:hAnsi="Times New Roman" w:cs="Times New Roman"/>
                <w:sz w:val="20"/>
                <w:szCs w:val="20"/>
              </w:rPr>
              <w:footnoteReference w:id="20"/>
            </w:r>
          </w:p>
        </w:tc>
        <w:tc>
          <w:tcPr>
            <w:tcW w:w="993" w:type="dxa"/>
            <w:gridSpan w:val="4"/>
            <w:shd w:val="clear" w:color="auto" w:fill="FFFFFF"/>
          </w:tcPr>
          <w:p w14:paraId="67B71304"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2" w:type="dxa"/>
            <w:gridSpan w:val="2"/>
            <w:shd w:val="clear" w:color="auto" w:fill="FFFFFF"/>
          </w:tcPr>
          <w:p w14:paraId="7561769D"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2" w:type="dxa"/>
            <w:gridSpan w:val="4"/>
            <w:shd w:val="clear" w:color="auto" w:fill="FFFFFF"/>
          </w:tcPr>
          <w:p w14:paraId="37105009"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2" w:type="dxa"/>
            <w:gridSpan w:val="2"/>
            <w:shd w:val="clear" w:color="auto" w:fill="FFFFFF"/>
          </w:tcPr>
          <w:p w14:paraId="07DB2B6F"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993" w:type="dxa"/>
            <w:gridSpan w:val="2"/>
            <w:shd w:val="clear" w:color="auto" w:fill="FFFFFF"/>
          </w:tcPr>
          <w:p w14:paraId="7E1E03B5" w14:textId="77777777" w:rsidR="00C7135B" w:rsidRPr="008C7038" w:rsidRDefault="00C7135B" w:rsidP="003B108C">
            <w:pPr>
              <w:spacing w:line="257" w:lineRule="auto"/>
              <w:rPr>
                <w:rFonts w:ascii="Times New Roman" w:hAnsi="Times New Roman" w:cs="Times New Roman"/>
                <w:sz w:val="20"/>
                <w:szCs w:val="20"/>
              </w:rPr>
            </w:pPr>
            <w:r w:rsidRPr="008C7038">
              <w:rPr>
                <w:rFonts w:ascii="Times New Roman" w:hAnsi="Times New Roman" w:cs="Times New Roman"/>
                <w:sz w:val="20"/>
                <w:szCs w:val="20"/>
              </w:rPr>
              <w:t>Tajemnica Przedsiębiorstwa Poczta Polska</w:t>
            </w:r>
          </w:p>
        </w:tc>
        <w:tc>
          <w:tcPr>
            <w:tcW w:w="1174" w:type="dxa"/>
            <w:gridSpan w:val="4"/>
            <w:shd w:val="clear" w:color="auto" w:fill="FFFFFF"/>
          </w:tcPr>
          <w:p w14:paraId="60813468" w14:textId="77777777" w:rsidR="00C7135B" w:rsidRPr="008C7038" w:rsidRDefault="00C7135B" w:rsidP="003B108C">
            <w:pPr>
              <w:spacing w:line="257" w:lineRule="auto"/>
              <w:rPr>
                <w:rFonts w:ascii="Times New Roman" w:hAnsi="Times New Roman" w:cs="Times New Roman"/>
                <w:spacing w:val="-2"/>
                <w:sz w:val="20"/>
                <w:szCs w:val="20"/>
              </w:rPr>
            </w:pPr>
            <w:r w:rsidRPr="008C7038">
              <w:rPr>
                <w:rFonts w:ascii="Times New Roman" w:hAnsi="Times New Roman" w:cs="Times New Roman"/>
                <w:sz w:val="20"/>
                <w:szCs w:val="20"/>
              </w:rPr>
              <w:t>Tajemnica Przedsiębiorstwa Poczta Polska</w:t>
            </w:r>
          </w:p>
        </w:tc>
      </w:tr>
      <w:tr w:rsidR="00C7135B" w:rsidRPr="008C7038" w14:paraId="7A0099FB" w14:textId="77777777" w:rsidTr="008C7038">
        <w:trPr>
          <w:trHeight w:val="142"/>
        </w:trPr>
        <w:tc>
          <w:tcPr>
            <w:tcW w:w="1571" w:type="dxa"/>
            <w:vMerge/>
            <w:shd w:val="clear" w:color="auto" w:fill="FFFFFF"/>
          </w:tcPr>
          <w:p w14:paraId="254F63D4" w14:textId="77777777" w:rsidR="00C7135B" w:rsidRPr="008C7038" w:rsidRDefault="00C7135B" w:rsidP="003B108C">
            <w:pPr>
              <w:spacing w:line="257" w:lineRule="auto"/>
              <w:rPr>
                <w:rFonts w:ascii="Times New Roman" w:hAnsi="Times New Roman" w:cs="Times New Roman"/>
                <w:sz w:val="24"/>
                <w:szCs w:val="24"/>
              </w:rPr>
            </w:pPr>
          </w:p>
        </w:tc>
        <w:tc>
          <w:tcPr>
            <w:tcW w:w="2115" w:type="dxa"/>
            <w:gridSpan w:val="6"/>
            <w:shd w:val="clear" w:color="auto" w:fill="FFFFFF"/>
          </w:tcPr>
          <w:p w14:paraId="7F55A5F8" w14:textId="77777777" w:rsidR="00C7135B" w:rsidRDefault="00C7135B" w:rsidP="00277F6C">
            <w:pPr>
              <w:spacing w:line="257" w:lineRule="auto"/>
              <w:rPr>
                <w:rFonts w:ascii="Times New Roman" w:hAnsi="Times New Roman" w:cs="Times New Roman"/>
                <w:bCs/>
                <w:u w:val="single"/>
              </w:rPr>
            </w:pPr>
            <w:r w:rsidRPr="008C7038">
              <w:rPr>
                <w:rFonts w:ascii="Times New Roman" w:hAnsi="Times New Roman" w:cs="Times New Roman"/>
              </w:rPr>
              <w:t xml:space="preserve">zmiana przychodów Poczty Polskiej wynikających  ze </w:t>
            </w:r>
            <w:r w:rsidRPr="008C7038">
              <w:rPr>
                <w:rFonts w:ascii="Times New Roman" w:hAnsi="Times New Roman" w:cs="Times New Roman"/>
                <w:bCs/>
                <w:u w:val="single"/>
              </w:rPr>
              <w:t xml:space="preserve">scenariusza  realizacji usługi e-Doręczeń i publicznej usługi hybrydowej  bez udziału Poczty </w:t>
            </w:r>
            <w:r w:rsidRPr="008C7038">
              <w:rPr>
                <w:rFonts w:ascii="Times New Roman" w:hAnsi="Times New Roman" w:cs="Times New Roman"/>
                <w:bCs/>
                <w:u w:val="single"/>
              </w:rPr>
              <w:lastRenderedPageBreak/>
              <w:t>Polskiej w realizacji usługi eDoręczeń</w:t>
            </w:r>
            <w:r w:rsidRPr="008C7038">
              <w:rPr>
                <w:rStyle w:val="Odwoanieprzypisudolnego"/>
                <w:rFonts w:ascii="Times New Roman" w:hAnsi="Times New Roman" w:cs="Times New Roman"/>
                <w:sz w:val="24"/>
                <w:szCs w:val="24"/>
              </w:rPr>
              <w:footnoteReference w:id="21"/>
            </w:r>
          </w:p>
          <w:p w14:paraId="59FE755F" w14:textId="4BB87B0E" w:rsidR="00277F6C" w:rsidRPr="008C7038" w:rsidRDefault="00277F6C" w:rsidP="00277F6C">
            <w:pPr>
              <w:spacing w:line="257" w:lineRule="auto"/>
              <w:rPr>
                <w:rFonts w:ascii="Times New Roman" w:hAnsi="Times New Roman" w:cs="Times New Roman"/>
                <w:sz w:val="24"/>
                <w:szCs w:val="24"/>
              </w:rPr>
            </w:pPr>
          </w:p>
        </w:tc>
        <w:tc>
          <w:tcPr>
            <w:tcW w:w="1134" w:type="dxa"/>
            <w:gridSpan w:val="4"/>
            <w:shd w:val="clear" w:color="auto" w:fill="FFFFFF"/>
          </w:tcPr>
          <w:p w14:paraId="11E9B686"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- 121,00</w:t>
            </w:r>
          </w:p>
        </w:tc>
        <w:tc>
          <w:tcPr>
            <w:tcW w:w="993" w:type="dxa"/>
            <w:gridSpan w:val="4"/>
            <w:shd w:val="clear" w:color="auto" w:fill="FFFFFF"/>
          </w:tcPr>
          <w:p w14:paraId="4E0BF391"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- 346,8</w:t>
            </w:r>
          </w:p>
        </w:tc>
        <w:tc>
          <w:tcPr>
            <w:tcW w:w="992" w:type="dxa"/>
            <w:gridSpan w:val="2"/>
            <w:shd w:val="clear" w:color="auto" w:fill="FFFFFF"/>
          </w:tcPr>
          <w:p w14:paraId="3B8BE70E"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- 535,1</w:t>
            </w:r>
          </w:p>
        </w:tc>
        <w:tc>
          <w:tcPr>
            <w:tcW w:w="992" w:type="dxa"/>
            <w:gridSpan w:val="4"/>
            <w:shd w:val="clear" w:color="auto" w:fill="FFFFFF"/>
          </w:tcPr>
          <w:p w14:paraId="012BD4B7"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- 617,3</w:t>
            </w:r>
          </w:p>
        </w:tc>
        <w:tc>
          <w:tcPr>
            <w:tcW w:w="992" w:type="dxa"/>
            <w:gridSpan w:val="2"/>
            <w:shd w:val="clear" w:color="auto" w:fill="FFFFFF"/>
          </w:tcPr>
          <w:p w14:paraId="098C0EAE" w14:textId="77777777" w:rsidR="00C7135B" w:rsidRPr="008C7038" w:rsidRDefault="00C7135B" w:rsidP="003B108C">
            <w:pPr>
              <w:spacing w:line="257" w:lineRule="auto"/>
              <w:rPr>
                <w:rFonts w:ascii="Times New Roman" w:hAnsi="Times New Roman" w:cs="Times New Roman"/>
                <w:sz w:val="24"/>
                <w:szCs w:val="24"/>
              </w:rPr>
            </w:pPr>
            <w:r w:rsidRPr="008C7038">
              <w:rPr>
                <w:rFonts w:ascii="Times New Roman" w:hAnsi="Times New Roman" w:cs="Times New Roman"/>
                <w:sz w:val="24"/>
                <w:szCs w:val="24"/>
              </w:rPr>
              <w:t>- 659,4</w:t>
            </w:r>
          </w:p>
        </w:tc>
        <w:tc>
          <w:tcPr>
            <w:tcW w:w="993" w:type="dxa"/>
            <w:gridSpan w:val="2"/>
            <w:shd w:val="clear" w:color="auto" w:fill="FFFFFF"/>
          </w:tcPr>
          <w:p w14:paraId="5D1BE467" w14:textId="77777777" w:rsidR="00C7135B" w:rsidRPr="008C7038" w:rsidRDefault="00C7135B" w:rsidP="003B108C">
            <w:pPr>
              <w:spacing w:line="257" w:lineRule="auto"/>
              <w:rPr>
                <w:rFonts w:ascii="Times New Roman" w:hAnsi="Times New Roman" w:cs="Times New Roman"/>
              </w:rPr>
            </w:pPr>
            <w:r w:rsidRPr="008C7038">
              <w:rPr>
                <w:rFonts w:ascii="Times New Roman" w:hAnsi="Times New Roman" w:cs="Times New Roman"/>
              </w:rPr>
              <w:t>Brak danych</w:t>
            </w:r>
          </w:p>
        </w:tc>
        <w:tc>
          <w:tcPr>
            <w:tcW w:w="1174" w:type="dxa"/>
            <w:gridSpan w:val="4"/>
            <w:shd w:val="clear" w:color="auto" w:fill="FFFFFF"/>
          </w:tcPr>
          <w:p w14:paraId="12163BCB" w14:textId="77777777" w:rsidR="00C7135B" w:rsidRPr="008C7038" w:rsidRDefault="00C7135B" w:rsidP="003B108C">
            <w:pPr>
              <w:spacing w:line="257" w:lineRule="auto"/>
              <w:rPr>
                <w:rFonts w:ascii="Times New Roman" w:hAnsi="Times New Roman" w:cs="Times New Roman"/>
                <w:spacing w:val="-2"/>
              </w:rPr>
            </w:pPr>
            <w:r w:rsidRPr="008C7038">
              <w:rPr>
                <w:rFonts w:ascii="Times New Roman" w:hAnsi="Times New Roman" w:cs="Times New Roman"/>
              </w:rPr>
              <w:t xml:space="preserve">Łącznie </w:t>
            </w:r>
            <w:r w:rsidRPr="008C7038">
              <w:rPr>
                <w:rFonts w:ascii="Times New Roman" w:hAnsi="Times New Roman" w:cs="Times New Roman"/>
              </w:rPr>
              <w:br/>
              <w:t>(0-10)</w:t>
            </w:r>
            <w:r w:rsidRPr="008C7038">
              <w:rPr>
                <w:rFonts w:ascii="Times New Roman" w:hAnsi="Times New Roman" w:cs="Times New Roman"/>
              </w:rPr>
              <w:br/>
              <w:t xml:space="preserve"> - 2279,6</w:t>
            </w:r>
            <w:r w:rsidRPr="008C7038">
              <w:rPr>
                <w:rStyle w:val="Odwoanieprzypisudolnego"/>
                <w:rFonts w:ascii="Times New Roman" w:hAnsi="Times New Roman" w:cs="Times New Roman"/>
              </w:rPr>
              <w:footnoteReference w:id="22"/>
            </w:r>
            <w:r w:rsidRPr="008C7038">
              <w:rPr>
                <w:rFonts w:ascii="Times New Roman" w:hAnsi="Times New Roman" w:cs="Times New Roman"/>
              </w:rPr>
              <w:br/>
            </w:r>
          </w:p>
        </w:tc>
      </w:tr>
      <w:tr w:rsidR="003A6F7A" w:rsidRPr="008C7038" w14:paraId="5B66EB6E" w14:textId="77777777" w:rsidTr="008C7038">
        <w:trPr>
          <w:trHeight w:val="142"/>
        </w:trPr>
        <w:tc>
          <w:tcPr>
            <w:tcW w:w="1571" w:type="dxa"/>
            <w:vMerge w:val="restart"/>
            <w:shd w:val="clear" w:color="auto" w:fill="FFFFFF"/>
          </w:tcPr>
          <w:p w14:paraId="04203E14"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W ujęciu niepieniężnym</w:t>
            </w:r>
          </w:p>
        </w:tc>
        <w:tc>
          <w:tcPr>
            <w:tcW w:w="2266" w:type="dxa"/>
            <w:gridSpan w:val="7"/>
            <w:shd w:val="clear" w:color="auto" w:fill="FFFFFF"/>
          </w:tcPr>
          <w:p w14:paraId="63FA3D89"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duże przedsiębiorstwa</w:t>
            </w:r>
          </w:p>
        </w:tc>
        <w:tc>
          <w:tcPr>
            <w:tcW w:w="7119" w:type="dxa"/>
            <w:gridSpan w:val="21"/>
            <w:shd w:val="clear" w:color="auto" w:fill="FFFFFF"/>
          </w:tcPr>
          <w:p w14:paraId="12179A6C" w14:textId="77777777" w:rsidR="003A6F7A" w:rsidRPr="00277F6C" w:rsidRDefault="003A6F7A" w:rsidP="00277F6C">
            <w:pPr>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 xml:space="preserve">Przedsiębiorcy będą mogli obniżyć koszty stałe poprzez bezpłatne wysyłanie do organów administracji publicznej </w:t>
            </w:r>
            <w:r w:rsidR="001D3A9E" w:rsidRPr="00277F6C">
              <w:rPr>
                <w:rFonts w:ascii="Times New Roman" w:hAnsi="Times New Roman" w:cs="Times New Roman"/>
                <w:spacing w:val="-2"/>
                <w:sz w:val="24"/>
                <w:szCs w:val="24"/>
              </w:rPr>
              <w:t xml:space="preserve">korespondencji </w:t>
            </w:r>
            <w:r w:rsidRPr="00277F6C">
              <w:rPr>
                <w:rFonts w:ascii="Times New Roman" w:hAnsi="Times New Roman" w:cs="Times New Roman"/>
                <w:spacing w:val="-2"/>
                <w:sz w:val="24"/>
                <w:szCs w:val="24"/>
              </w:rPr>
              <w:t>w postaci elektronicznej. Nie będzie konieczności posiadania kont w odrębnych systemach teleinformatycznych administracji publicznej, przewidziane jest łatwe zarządzanie e-skrzynką. Przedsiębiorca będzie miał możliwość zgłoszenia żądania wpisu do BAE, w tym założenia skrzynki ESD</w:t>
            </w:r>
            <w:r w:rsidR="001D3A9E" w:rsidRPr="00277F6C">
              <w:rPr>
                <w:rFonts w:ascii="Times New Roman" w:hAnsi="Times New Roman" w:cs="Times New Roman"/>
                <w:spacing w:val="-2"/>
                <w:sz w:val="24"/>
                <w:szCs w:val="24"/>
              </w:rPr>
              <w:t>,</w:t>
            </w:r>
            <w:r w:rsidRPr="00277F6C">
              <w:rPr>
                <w:rFonts w:ascii="Times New Roman" w:hAnsi="Times New Roman" w:cs="Times New Roman"/>
                <w:spacing w:val="-2"/>
                <w:sz w:val="24"/>
                <w:szCs w:val="24"/>
              </w:rPr>
              <w:t xml:space="preserve"> </w:t>
            </w:r>
            <w:r w:rsidR="00DB63E7" w:rsidRPr="00277F6C">
              <w:rPr>
                <w:rFonts w:ascii="Times New Roman" w:hAnsi="Times New Roman" w:cs="Times New Roman"/>
                <w:spacing w:val="-2"/>
                <w:sz w:val="24"/>
                <w:szCs w:val="24"/>
              </w:rPr>
              <w:t>w ramach</w:t>
            </w:r>
            <w:r w:rsidRPr="00277F6C">
              <w:rPr>
                <w:rFonts w:ascii="Times New Roman" w:hAnsi="Times New Roman" w:cs="Times New Roman"/>
                <w:spacing w:val="-2"/>
                <w:sz w:val="24"/>
                <w:szCs w:val="24"/>
              </w:rPr>
              <w:t xml:space="preserve"> dotychczasowych procedur </w:t>
            </w:r>
            <w:r w:rsidR="00DB63E7" w:rsidRPr="00277F6C">
              <w:rPr>
                <w:rFonts w:ascii="Times New Roman" w:hAnsi="Times New Roman" w:cs="Times New Roman"/>
                <w:spacing w:val="-2"/>
                <w:sz w:val="24"/>
                <w:szCs w:val="24"/>
              </w:rPr>
              <w:t xml:space="preserve">które i tak zmuszony jest realizować </w:t>
            </w:r>
            <w:r w:rsidRPr="00277F6C">
              <w:rPr>
                <w:rFonts w:ascii="Times New Roman" w:hAnsi="Times New Roman" w:cs="Times New Roman"/>
                <w:spacing w:val="-2"/>
                <w:sz w:val="24"/>
                <w:szCs w:val="24"/>
              </w:rPr>
              <w:t>tj. wniosków o wpis w KRS.</w:t>
            </w:r>
          </w:p>
          <w:p w14:paraId="4612D44A" w14:textId="76001670" w:rsidR="003A6F7A" w:rsidRPr="00277F6C" w:rsidRDefault="003A6F7A" w:rsidP="00277F6C">
            <w:pPr>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 xml:space="preserve">Ponadto przedsiębiorcy, zmuszeni dziś do wysyłania dużej ilości korespondencji papierowej do swoich klientów, będą mogli zastąpić ją skutecznym </w:t>
            </w:r>
            <w:r w:rsidR="00913289" w:rsidRPr="00277F6C">
              <w:rPr>
                <w:rFonts w:ascii="Times New Roman" w:hAnsi="Times New Roman" w:cs="Times New Roman"/>
                <w:spacing w:val="-2"/>
                <w:sz w:val="24"/>
                <w:szCs w:val="24"/>
              </w:rPr>
              <w:t xml:space="preserve">szybszym i tańszym </w:t>
            </w:r>
            <w:r w:rsidRPr="00277F6C">
              <w:rPr>
                <w:rFonts w:ascii="Times New Roman" w:hAnsi="Times New Roman" w:cs="Times New Roman"/>
                <w:spacing w:val="-2"/>
                <w:sz w:val="24"/>
                <w:szCs w:val="24"/>
              </w:rPr>
              <w:t>e-Doręczeniem. Każdy posiadacz skrzynki doręczeń elektronicznych będzie mógł z niej automatycznie pobierać przesyłki lub je tam zostawić, niezależnie od tego, kim jest (obywatel/ przedsiębiorca/ podmiot publiczny).</w:t>
            </w:r>
          </w:p>
        </w:tc>
      </w:tr>
      <w:tr w:rsidR="003A6F7A" w:rsidRPr="008C7038" w14:paraId="5499F7E0" w14:textId="77777777" w:rsidTr="008C7038">
        <w:trPr>
          <w:trHeight w:val="142"/>
        </w:trPr>
        <w:tc>
          <w:tcPr>
            <w:tcW w:w="1571" w:type="dxa"/>
            <w:vMerge/>
            <w:shd w:val="clear" w:color="auto" w:fill="FFFFFF"/>
          </w:tcPr>
          <w:p w14:paraId="1662BEEB"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6542FCAF"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Sektor mikro-, małych i średnich przedsiębiorstw</w:t>
            </w:r>
          </w:p>
        </w:tc>
        <w:tc>
          <w:tcPr>
            <w:tcW w:w="7119" w:type="dxa"/>
            <w:gridSpan w:val="21"/>
            <w:shd w:val="clear" w:color="auto" w:fill="FFFFFF"/>
          </w:tcPr>
          <w:p w14:paraId="419036FA" w14:textId="7C69B547" w:rsidR="003A6F7A" w:rsidRPr="00277F6C" w:rsidRDefault="003A6F7A" w:rsidP="00277F6C">
            <w:pPr>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Przedsiębiorcy będą mogli obniżyć koszty stałe poprzez bezpłatne wysyłanie korespondencji do organów administracji publicznej w postaci elektronicznej. Nie będzie konieczności posiadania kont w odrębnych systemach teleinformatycznych administracji publicznej. Uzyskanie skrzynki od ministra właściwego ds. informatyzacji będzie możliwe przy użyciu dotychczasowych usług dedykowanych przedsiębiorcom, tj. wniosków CEIDG.</w:t>
            </w:r>
          </w:p>
        </w:tc>
      </w:tr>
      <w:tr w:rsidR="003A6F7A" w:rsidRPr="008C7038" w14:paraId="4D8FB97D" w14:textId="77777777" w:rsidTr="008C7038">
        <w:trPr>
          <w:trHeight w:val="596"/>
        </w:trPr>
        <w:tc>
          <w:tcPr>
            <w:tcW w:w="1571" w:type="dxa"/>
            <w:vMerge/>
            <w:shd w:val="clear" w:color="auto" w:fill="FFFFFF"/>
          </w:tcPr>
          <w:p w14:paraId="31C72B29"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40CF951E" w14:textId="77777777" w:rsidR="003A6F7A" w:rsidRPr="008C7038" w:rsidRDefault="003A6F7A" w:rsidP="003A6F7A">
            <w:pPr>
              <w:tabs>
                <w:tab w:val="right" w:pos="1936"/>
              </w:tabs>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Rodzina, obywatele oraz gospodarstwa domowe </w:t>
            </w:r>
          </w:p>
        </w:tc>
        <w:tc>
          <w:tcPr>
            <w:tcW w:w="7119" w:type="dxa"/>
            <w:gridSpan w:val="21"/>
            <w:shd w:val="clear" w:color="auto" w:fill="FFFFFF"/>
          </w:tcPr>
          <w:p w14:paraId="769875D7" w14:textId="77777777" w:rsidR="003A6F7A" w:rsidRPr="00277F6C" w:rsidRDefault="003A6F7A" w:rsidP="00277F6C">
            <w:pPr>
              <w:spacing w:after="120"/>
              <w:jc w:val="both"/>
              <w:rPr>
                <w:rFonts w:ascii="Times New Roman" w:hAnsi="Times New Roman" w:cs="Times New Roman"/>
                <w:sz w:val="24"/>
                <w:szCs w:val="24"/>
                <w:lang w:eastAsia="ar-SA"/>
              </w:rPr>
            </w:pPr>
            <w:r w:rsidRPr="00277F6C">
              <w:rPr>
                <w:rFonts w:ascii="Times New Roman" w:hAnsi="Times New Roman" w:cs="Times New Roman"/>
                <w:spacing w:val="-2"/>
                <w:sz w:val="24"/>
                <w:szCs w:val="24"/>
              </w:rPr>
              <w:t>Obywatele mogą uzyskać możliwość skutecznej i bezpłatnej wysyłki korespondencji w postaci elektronicznej z wykorzystaniem jednego adresu, z organami administracji publicznej oraz z sądami.</w:t>
            </w:r>
            <w:r w:rsidRPr="00277F6C">
              <w:rPr>
                <w:rFonts w:ascii="Times New Roman" w:hAnsi="Times New Roman" w:cs="Times New Roman"/>
                <w:sz w:val="24"/>
                <w:szCs w:val="24"/>
                <w:lang w:eastAsia="ar-SA"/>
              </w:rPr>
              <w:t xml:space="preserve"> </w:t>
            </w:r>
          </w:p>
          <w:p w14:paraId="51EDA00E" w14:textId="77777777" w:rsidR="00687B3B" w:rsidRPr="00277F6C" w:rsidRDefault="003A6F7A" w:rsidP="00277F6C">
            <w:pPr>
              <w:spacing w:after="120"/>
              <w:jc w:val="both"/>
              <w:rPr>
                <w:rFonts w:ascii="Times New Roman" w:hAnsi="Times New Roman" w:cs="Times New Roman"/>
                <w:sz w:val="24"/>
                <w:szCs w:val="24"/>
                <w:lang w:eastAsia="ar-SA"/>
              </w:rPr>
            </w:pPr>
            <w:r w:rsidRPr="00277F6C">
              <w:rPr>
                <w:rFonts w:ascii="Times New Roman" w:hAnsi="Times New Roman" w:cs="Times New Roman"/>
                <w:sz w:val="24"/>
                <w:szCs w:val="24"/>
                <w:lang w:eastAsia="ar-SA"/>
              </w:rPr>
              <w:t xml:space="preserve">Wejście w życie ustawy będzie miało istotny wpływ na sytuację osób niepełnosprawnych oraz osób starszych. Projektowane rozwiązania umożliwiają przesyłanie i odbiór korespondencji (przede wszystkim z podmiotami publicznymi), </w:t>
            </w:r>
            <w:r w:rsidR="00913289" w:rsidRPr="00277F6C">
              <w:rPr>
                <w:rFonts w:ascii="Times New Roman" w:hAnsi="Times New Roman" w:cs="Times New Roman"/>
                <w:sz w:val="24"/>
                <w:szCs w:val="24"/>
                <w:lang w:eastAsia="ar-SA"/>
              </w:rPr>
              <w:t xml:space="preserve">bez potrzeby wychodzenia z domu </w:t>
            </w:r>
            <w:r w:rsidRPr="00277F6C">
              <w:rPr>
                <w:rFonts w:ascii="Times New Roman" w:hAnsi="Times New Roman" w:cs="Times New Roman"/>
                <w:sz w:val="24"/>
                <w:szCs w:val="24"/>
                <w:lang w:eastAsia="ar-SA"/>
              </w:rPr>
              <w:t xml:space="preserve">co </w:t>
            </w:r>
            <w:r w:rsidR="00913289" w:rsidRPr="00277F6C">
              <w:rPr>
                <w:rFonts w:ascii="Times New Roman" w:hAnsi="Times New Roman" w:cs="Times New Roman"/>
                <w:sz w:val="24"/>
                <w:szCs w:val="24"/>
                <w:lang w:eastAsia="ar-SA"/>
              </w:rPr>
              <w:t xml:space="preserve">będzie stanowiło znaczne </w:t>
            </w:r>
            <w:r w:rsidRPr="00277F6C">
              <w:rPr>
                <w:rFonts w:ascii="Times New Roman" w:hAnsi="Times New Roman" w:cs="Times New Roman"/>
                <w:sz w:val="24"/>
                <w:szCs w:val="24"/>
                <w:lang w:eastAsia="ar-SA"/>
              </w:rPr>
              <w:t xml:space="preserve">ułatwienie dla osób </w:t>
            </w:r>
            <w:r w:rsidR="00913289" w:rsidRPr="00277F6C">
              <w:rPr>
                <w:rFonts w:ascii="Times New Roman" w:hAnsi="Times New Roman" w:cs="Times New Roman"/>
                <w:sz w:val="24"/>
                <w:szCs w:val="24"/>
                <w:lang w:eastAsia="ar-SA"/>
              </w:rPr>
              <w:t>mających trudności z poruszaniem się</w:t>
            </w:r>
            <w:r w:rsidRPr="00277F6C">
              <w:rPr>
                <w:rFonts w:ascii="Times New Roman" w:hAnsi="Times New Roman" w:cs="Times New Roman"/>
                <w:sz w:val="24"/>
                <w:szCs w:val="24"/>
                <w:lang w:eastAsia="ar-SA"/>
              </w:rPr>
              <w:t xml:space="preserve">. </w:t>
            </w:r>
            <w:r w:rsidR="005D4C5E" w:rsidRPr="00277F6C">
              <w:rPr>
                <w:rFonts w:ascii="Times New Roman" w:hAnsi="Times New Roman" w:cs="Times New Roman"/>
                <w:sz w:val="24"/>
                <w:szCs w:val="24"/>
                <w:lang w:eastAsia="ar-SA"/>
              </w:rPr>
              <w:t>Elektronizacja doręczeń ułatwi możliwość komu</w:t>
            </w:r>
            <w:r w:rsidR="00687B3B" w:rsidRPr="00277F6C">
              <w:rPr>
                <w:rFonts w:ascii="Times New Roman" w:hAnsi="Times New Roman" w:cs="Times New Roman"/>
                <w:sz w:val="24"/>
                <w:szCs w:val="24"/>
                <w:lang w:eastAsia="ar-SA"/>
              </w:rPr>
              <w:t xml:space="preserve">nikowania się osobom niewidomym, które dzięki wsparciu oprogramowania automatycznie czytające treść korespondencji będą mogły zapoznać się z jej treścią. </w:t>
            </w:r>
            <w:r w:rsidRPr="00277F6C">
              <w:rPr>
                <w:rFonts w:ascii="Times New Roman" w:hAnsi="Times New Roman" w:cs="Times New Roman"/>
                <w:sz w:val="24"/>
                <w:szCs w:val="24"/>
                <w:lang w:eastAsia="ar-SA"/>
              </w:rPr>
              <w:t xml:space="preserve">Wprowadzenie usługi </w:t>
            </w:r>
            <w:r w:rsidR="001D3A9E" w:rsidRPr="00277F6C">
              <w:rPr>
                <w:rFonts w:ascii="Times New Roman" w:hAnsi="Times New Roman" w:cs="Times New Roman"/>
                <w:sz w:val="24"/>
                <w:szCs w:val="24"/>
                <w:lang w:eastAsia="ar-SA"/>
              </w:rPr>
              <w:t>publicznej</w:t>
            </w:r>
            <w:r w:rsidRPr="00277F6C">
              <w:rPr>
                <w:rFonts w:ascii="Times New Roman" w:hAnsi="Times New Roman" w:cs="Times New Roman"/>
                <w:sz w:val="24"/>
                <w:szCs w:val="24"/>
                <w:lang w:eastAsia="ar-SA"/>
              </w:rPr>
              <w:t xml:space="preserve"> </w:t>
            </w:r>
            <w:r w:rsidRPr="00277F6C">
              <w:rPr>
                <w:rFonts w:ascii="Times New Roman" w:hAnsi="Times New Roman" w:cs="Times New Roman"/>
                <w:sz w:val="24"/>
                <w:szCs w:val="24"/>
                <w:lang w:eastAsia="ar-SA"/>
              </w:rPr>
              <w:lastRenderedPageBreak/>
              <w:t xml:space="preserve">przesyłki hybrydowej zapewnia możliwość komunikacji z administracją publiczną także tym osobom, które ze względu na brak możliwości technicznych, umiejętności cyfrowych lub </w:t>
            </w:r>
            <w:r w:rsidR="00687B3B" w:rsidRPr="00277F6C">
              <w:rPr>
                <w:rFonts w:ascii="Times New Roman" w:hAnsi="Times New Roman" w:cs="Times New Roman"/>
                <w:sz w:val="24"/>
                <w:szCs w:val="24"/>
                <w:lang w:eastAsia="ar-SA"/>
              </w:rPr>
              <w:t xml:space="preserve">brak </w:t>
            </w:r>
            <w:r w:rsidRPr="00277F6C">
              <w:rPr>
                <w:rFonts w:ascii="Times New Roman" w:hAnsi="Times New Roman" w:cs="Times New Roman"/>
                <w:sz w:val="24"/>
                <w:szCs w:val="24"/>
                <w:lang w:eastAsia="ar-SA"/>
              </w:rPr>
              <w:t xml:space="preserve">zaufania do technologii cyfrowych nie mogą lub nie chcą prowadzić komunikacji w postaci elektronicznej. </w:t>
            </w:r>
            <w:r w:rsidR="00687B3B" w:rsidRPr="00277F6C">
              <w:rPr>
                <w:rFonts w:ascii="Times New Roman" w:hAnsi="Times New Roman" w:cs="Times New Roman"/>
                <w:sz w:val="24"/>
                <w:szCs w:val="24"/>
                <w:lang w:eastAsia="ar-SA"/>
              </w:rPr>
              <w:t xml:space="preserve">Takie osoby </w:t>
            </w:r>
            <w:r w:rsidR="00BA4E05" w:rsidRPr="00277F6C">
              <w:rPr>
                <w:rFonts w:ascii="Times New Roman" w:hAnsi="Times New Roman" w:cs="Times New Roman"/>
                <w:sz w:val="24"/>
                <w:szCs w:val="24"/>
                <w:lang w:eastAsia="ar-SA"/>
              </w:rPr>
              <w:t xml:space="preserve">nadal będą </w:t>
            </w:r>
            <w:r w:rsidR="00563A86" w:rsidRPr="00277F6C">
              <w:rPr>
                <w:rFonts w:ascii="Times New Roman" w:hAnsi="Times New Roman" w:cs="Times New Roman"/>
                <w:sz w:val="24"/>
                <w:szCs w:val="24"/>
                <w:lang w:eastAsia="ar-SA"/>
              </w:rPr>
              <w:t>on</w:t>
            </w:r>
            <w:r w:rsidR="001D3A9E" w:rsidRPr="00277F6C">
              <w:rPr>
                <w:rFonts w:ascii="Times New Roman" w:hAnsi="Times New Roman" w:cs="Times New Roman"/>
                <w:sz w:val="24"/>
                <w:szCs w:val="24"/>
                <w:lang w:eastAsia="ar-SA"/>
              </w:rPr>
              <w:t>e</w:t>
            </w:r>
            <w:r w:rsidR="00563A86" w:rsidRPr="00277F6C">
              <w:rPr>
                <w:rFonts w:ascii="Times New Roman" w:hAnsi="Times New Roman" w:cs="Times New Roman"/>
                <w:sz w:val="24"/>
                <w:szCs w:val="24"/>
                <w:lang w:eastAsia="ar-SA"/>
              </w:rPr>
              <w:t xml:space="preserve"> </w:t>
            </w:r>
            <w:r w:rsidR="00BA4E05" w:rsidRPr="00277F6C">
              <w:rPr>
                <w:rFonts w:ascii="Times New Roman" w:hAnsi="Times New Roman" w:cs="Times New Roman"/>
                <w:sz w:val="24"/>
                <w:szCs w:val="24"/>
                <w:lang w:eastAsia="ar-SA"/>
              </w:rPr>
              <w:t>mog</w:t>
            </w:r>
            <w:r w:rsidR="001D3A9E" w:rsidRPr="00277F6C">
              <w:rPr>
                <w:rFonts w:ascii="Times New Roman" w:hAnsi="Times New Roman" w:cs="Times New Roman"/>
                <w:sz w:val="24"/>
                <w:szCs w:val="24"/>
                <w:lang w:eastAsia="ar-SA"/>
              </w:rPr>
              <w:t>ły</w:t>
            </w:r>
            <w:r w:rsidR="00BA4E05" w:rsidRPr="00277F6C">
              <w:rPr>
                <w:rFonts w:ascii="Times New Roman" w:hAnsi="Times New Roman" w:cs="Times New Roman"/>
                <w:sz w:val="24"/>
                <w:szCs w:val="24"/>
                <w:lang w:eastAsia="ar-SA"/>
              </w:rPr>
              <w:t xml:space="preserve"> wysłać korespondencję do </w:t>
            </w:r>
            <w:r w:rsidR="00687B3B" w:rsidRPr="00277F6C">
              <w:rPr>
                <w:rFonts w:ascii="Times New Roman" w:hAnsi="Times New Roman" w:cs="Times New Roman"/>
                <w:sz w:val="24"/>
                <w:szCs w:val="24"/>
                <w:lang w:eastAsia="ar-SA"/>
              </w:rPr>
              <w:t xml:space="preserve">podmiotów publicznych </w:t>
            </w:r>
            <w:r w:rsidR="00BA4E05" w:rsidRPr="00277F6C">
              <w:rPr>
                <w:rFonts w:ascii="Times New Roman" w:hAnsi="Times New Roman" w:cs="Times New Roman"/>
                <w:sz w:val="24"/>
                <w:szCs w:val="24"/>
                <w:lang w:eastAsia="ar-SA"/>
              </w:rPr>
              <w:t xml:space="preserve">w </w:t>
            </w:r>
            <w:r w:rsidR="00687B3B" w:rsidRPr="00277F6C">
              <w:rPr>
                <w:rFonts w:ascii="Times New Roman" w:hAnsi="Times New Roman" w:cs="Times New Roman"/>
                <w:sz w:val="24"/>
                <w:szCs w:val="24"/>
                <w:lang w:eastAsia="ar-SA"/>
              </w:rPr>
              <w:t xml:space="preserve">postaci </w:t>
            </w:r>
            <w:r w:rsidR="00BA4E05" w:rsidRPr="00277F6C">
              <w:rPr>
                <w:rFonts w:ascii="Times New Roman" w:hAnsi="Times New Roman" w:cs="Times New Roman"/>
                <w:sz w:val="24"/>
                <w:szCs w:val="24"/>
                <w:lang w:eastAsia="ar-SA"/>
              </w:rPr>
              <w:t>papierowej w cenie zbliżonej do obecnej usługi powszechnej</w:t>
            </w:r>
            <w:r w:rsidR="008A78C1" w:rsidRPr="00277F6C">
              <w:rPr>
                <w:rFonts w:ascii="Times New Roman" w:hAnsi="Times New Roman" w:cs="Times New Roman"/>
                <w:sz w:val="24"/>
                <w:szCs w:val="24"/>
                <w:lang w:eastAsia="ar-SA"/>
              </w:rPr>
              <w:t xml:space="preserve"> </w:t>
            </w:r>
            <w:r w:rsidR="00687B3B" w:rsidRPr="00277F6C">
              <w:rPr>
                <w:rFonts w:ascii="Times New Roman" w:hAnsi="Times New Roman" w:cs="Times New Roman"/>
                <w:sz w:val="24"/>
                <w:szCs w:val="24"/>
                <w:lang w:eastAsia="ar-SA"/>
              </w:rPr>
              <w:t>a jednocześnie przesyłana treść szybciej dotrze do adresatów dzięki zmianie na postać elektroniczną i doręczeniu w takiej postaci.</w:t>
            </w:r>
          </w:p>
          <w:p w14:paraId="2422291B" w14:textId="77777777" w:rsidR="003A6F7A" w:rsidRPr="00277F6C" w:rsidRDefault="001D3A9E" w:rsidP="00277F6C">
            <w:pPr>
              <w:spacing w:after="120"/>
              <w:jc w:val="both"/>
              <w:rPr>
                <w:rFonts w:ascii="Times New Roman" w:hAnsi="Times New Roman" w:cs="Times New Roman"/>
                <w:spacing w:val="-2"/>
                <w:sz w:val="24"/>
                <w:szCs w:val="24"/>
              </w:rPr>
            </w:pPr>
            <w:r w:rsidRPr="00277F6C">
              <w:rPr>
                <w:rFonts w:ascii="Times New Roman" w:hAnsi="Times New Roman" w:cs="Times New Roman"/>
                <w:sz w:val="24"/>
                <w:szCs w:val="24"/>
                <w:lang w:eastAsia="ar-SA"/>
              </w:rPr>
              <w:t>D</w:t>
            </w:r>
            <w:r w:rsidR="00BA4E05" w:rsidRPr="00277F6C">
              <w:rPr>
                <w:rFonts w:ascii="Times New Roman" w:hAnsi="Times New Roman" w:cs="Times New Roman"/>
                <w:sz w:val="24"/>
                <w:szCs w:val="24"/>
                <w:lang w:eastAsia="ar-SA"/>
              </w:rPr>
              <w:t>zięki wdrożeniu e</w:t>
            </w:r>
            <w:r w:rsidRPr="00277F6C">
              <w:rPr>
                <w:rFonts w:ascii="Times New Roman" w:hAnsi="Times New Roman" w:cs="Times New Roman"/>
                <w:sz w:val="24"/>
                <w:szCs w:val="24"/>
                <w:lang w:eastAsia="ar-SA"/>
              </w:rPr>
              <w:t>-</w:t>
            </w:r>
            <w:r w:rsidR="00BA4E05" w:rsidRPr="00277F6C">
              <w:rPr>
                <w:rFonts w:ascii="Times New Roman" w:hAnsi="Times New Roman" w:cs="Times New Roman"/>
                <w:sz w:val="24"/>
                <w:szCs w:val="24"/>
                <w:lang w:eastAsia="ar-SA"/>
              </w:rPr>
              <w:t xml:space="preserve">Doręczenia w powiązaniu z </w:t>
            </w:r>
            <w:r w:rsidRPr="00277F6C">
              <w:rPr>
                <w:rFonts w:ascii="Times New Roman" w:hAnsi="Times New Roman" w:cs="Times New Roman"/>
                <w:sz w:val="24"/>
                <w:szCs w:val="24"/>
                <w:lang w:eastAsia="ar-SA"/>
              </w:rPr>
              <w:t>publiczną usługą</w:t>
            </w:r>
            <w:r w:rsidR="00BA4E05" w:rsidRPr="00277F6C">
              <w:rPr>
                <w:rFonts w:ascii="Times New Roman" w:hAnsi="Times New Roman" w:cs="Times New Roman"/>
                <w:sz w:val="24"/>
                <w:szCs w:val="24"/>
                <w:lang w:eastAsia="ar-SA"/>
              </w:rPr>
              <w:t xml:space="preserve"> hybrydową </w:t>
            </w:r>
            <w:r w:rsidRPr="00277F6C">
              <w:rPr>
                <w:rFonts w:ascii="Times New Roman" w:hAnsi="Times New Roman" w:cs="Times New Roman"/>
                <w:sz w:val="24"/>
                <w:szCs w:val="24"/>
                <w:lang w:eastAsia="ar-SA"/>
              </w:rPr>
              <w:t xml:space="preserve">również </w:t>
            </w:r>
            <w:r w:rsidR="00BA4E05" w:rsidRPr="00277F6C">
              <w:rPr>
                <w:rFonts w:ascii="Times New Roman" w:hAnsi="Times New Roman" w:cs="Times New Roman"/>
                <w:sz w:val="24"/>
                <w:szCs w:val="24"/>
                <w:lang w:eastAsia="ar-SA"/>
              </w:rPr>
              <w:t>korespondencja nadawana przez jednostki administracji będzie dostarcz</w:t>
            </w:r>
            <w:r w:rsidR="00563A86" w:rsidRPr="00277F6C">
              <w:rPr>
                <w:rFonts w:ascii="Times New Roman" w:hAnsi="Times New Roman" w:cs="Times New Roman"/>
                <w:sz w:val="24"/>
                <w:szCs w:val="24"/>
                <w:lang w:eastAsia="ar-SA"/>
              </w:rPr>
              <w:t>ana</w:t>
            </w:r>
            <w:r w:rsidR="00BA4E05" w:rsidRPr="00277F6C">
              <w:rPr>
                <w:rFonts w:ascii="Times New Roman" w:hAnsi="Times New Roman" w:cs="Times New Roman"/>
                <w:sz w:val="24"/>
                <w:szCs w:val="24"/>
                <w:lang w:eastAsia="ar-SA"/>
              </w:rPr>
              <w:t xml:space="preserve"> do obywateli wykluczonych cyfrowo w formie papierowej, za co </w:t>
            </w:r>
            <w:r w:rsidRPr="00277F6C">
              <w:rPr>
                <w:rFonts w:ascii="Times New Roman" w:hAnsi="Times New Roman" w:cs="Times New Roman"/>
                <w:sz w:val="24"/>
                <w:szCs w:val="24"/>
                <w:lang w:eastAsia="ar-SA"/>
              </w:rPr>
              <w:t xml:space="preserve">- </w:t>
            </w:r>
            <w:r w:rsidR="00BA4E05" w:rsidRPr="00277F6C">
              <w:rPr>
                <w:rFonts w:ascii="Times New Roman" w:hAnsi="Times New Roman" w:cs="Times New Roman"/>
                <w:sz w:val="24"/>
                <w:szCs w:val="24"/>
                <w:lang w:eastAsia="ar-SA"/>
              </w:rPr>
              <w:t>jak w chwili obecnej</w:t>
            </w:r>
            <w:r w:rsidRPr="00277F6C">
              <w:rPr>
                <w:rFonts w:ascii="Times New Roman" w:hAnsi="Times New Roman" w:cs="Times New Roman"/>
                <w:sz w:val="24"/>
                <w:szCs w:val="24"/>
                <w:lang w:eastAsia="ar-SA"/>
              </w:rPr>
              <w:t xml:space="preserve"> -</w:t>
            </w:r>
            <w:r w:rsidR="00BA4E05" w:rsidRPr="00277F6C">
              <w:rPr>
                <w:rFonts w:ascii="Times New Roman" w:hAnsi="Times New Roman" w:cs="Times New Roman"/>
                <w:sz w:val="24"/>
                <w:szCs w:val="24"/>
                <w:lang w:eastAsia="ar-SA"/>
              </w:rPr>
              <w:t xml:space="preserve"> adresaci nie będą ponosili opłaty.</w:t>
            </w:r>
          </w:p>
        </w:tc>
      </w:tr>
      <w:tr w:rsidR="003A6F7A" w:rsidRPr="008C7038" w14:paraId="5E9F86B2" w14:textId="77777777" w:rsidTr="008C7038">
        <w:trPr>
          <w:trHeight w:val="240"/>
        </w:trPr>
        <w:tc>
          <w:tcPr>
            <w:tcW w:w="1571" w:type="dxa"/>
            <w:vMerge/>
            <w:shd w:val="clear" w:color="auto" w:fill="FFFFFF"/>
          </w:tcPr>
          <w:p w14:paraId="1DCBD198"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2F347E40" w14:textId="77777777" w:rsidR="003A6F7A" w:rsidRPr="008C7038" w:rsidRDefault="006E0320" w:rsidP="006E0320">
            <w:pPr>
              <w:tabs>
                <w:tab w:val="right" w:pos="1936"/>
              </w:tabs>
              <w:spacing w:line="257" w:lineRule="auto"/>
              <w:rPr>
                <w:rFonts w:ascii="Times New Roman" w:hAnsi="Times New Roman" w:cs="Times New Roman"/>
                <w:sz w:val="24"/>
                <w:szCs w:val="24"/>
              </w:rPr>
            </w:pPr>
            <w:r w:rsidRPr="008C7038">
              <w:rPr>
                <w:rFonts w:ascii="Times New Roman" w:hAnsi="Times New Roman" w:cs="Times New Roman"/>
                <w:sz w:val="24"/>
                <w:szCs w:val="24"/>
              </w:rPr>
              <w:t>Operatorzy pocztowi</w:t>
            </w:r>
          </w:p>
        </w:tc>
        <w:tc>
          <w:tcPr>
            <w:tcW w:w="7119" w:type="dxa"/>
            <w:gridSpan w:val="21"/>
            <w:shd w:val="clear" w:color="auto" w:fill="FFFFFF"/>
          </w:tcPr>
          <w:p w14:paraId="0BDC226A" w14:textId="77777777" w:rsidR="006E0320" w:rsidRPr="00277F6C" w:rsidRDefault="006E0320" w:rsidP="00277F6C">
            <w:pPr>
              <w:tabs>
                <w:tab w:val="left" w:pos="3000"/>
              </w:tabs>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Zgodnie z art. 43 ust. 6 Prawa pocztowego, Prezes UKE corocznie opracowuje raport o stanie rynku pocztowego na podstawie danych sprawozdawczych przekazywanych przez operatorów pocztowych. Należy podkreślić, że dane przekazywane przez poszczególnych operatorów przedstawiane są w ujęciu ilościowym i wartościowym w</w:t>
            </w:r>
            <w:r w:rsidR="005C31D4" w:rsidRPr="00277F6C">
              <w:rPr>
                <w:rFonts w:ascii="Times New Roman" w:hAnsi="Times New Roman" w:cs="Times New Roman"/>
                <w:spacing w:val="-2"/>
                <w:sz w:val="24"/>
                <w:szCs w:val="24"/>
              </w:rPr>
              <w:t> </w:t>
            </w:r>
            <w:r w:rsidRPr="00277F6C">
              <w:rPr>
                <w:rFonts w:ascii="Times New Roman" w:hAnsi="Times New Roman" w:cs="Times New Roman"/>
                <w:spacing w:val="-2"/>
                <w:sz w:val="24"/>
                <w:szCs w:val="24"/>
              </w:rPr>
              <w:t>podziale na zakres świadczonych usług (usługi powszechne, usługi wchodzące w zakres usług powszechnych, usługi kurierskie oraz inne usługi pocztowe).</w:t>
            </w:r>
          </w:p>
          <w:p w14:paraId="1720E2B9" w14:textId="77777777" w:rsidR="003A6F7A" w:rsidRPr="00277F6C" w:rsidRDefault="006E0320" w:rsidP="00277F6C">
            <w:pPr>
              <w:tabs>
                <w:tab w:val="left" w:pos="3000"/>
              </w:tabs>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Prezes UKE nie dysponuje danymi nt. usług świadczonych na rzecz podmiotów z poszczególnych sektorów gospodarki, w tym również na rzecz podmiotów publicznych.</w:t>
            </w:r>
          </w:p>
          <w:p w14:paraId="63A69F1C" w14:textId="77777777" w:rsidR="00CF1B85" w:rsidRPr="00277F6C" w:rsidRDefault="006E0320" w:rsidP="00277F6C">
            <w:pPr>
              <w:tabs>
                <w:tab w:val="left" w:pos="3000"/>
              </w:tabs>
              <w:spacing w:after="120"/>
              <w:jc w:val="both"/>
              <w:rPr>
                <w:rFonts w:ascii="Times New Roman" w:hAnsi="Times New Roman" w:cs="Times New Roman"/>
                <w:spacing w:val="-2"/>
                <w:sz w:val="24"/>
                <w:szCs w:val="24"/>
              </w:rPr>
            </w:pPr>
            <w:r w:rsidRPr="00277F6C">
              <w:rPr>
                <w:rFonts w:ascii="Times New Roman" w:hAnsi="Times New Roman" w:cs="Times New Roman"/>
                <w:spacing w:val="-2"/>
                <w:sz w:val="24"/>
                <w:szCs w:val="24"/>
              </w:rPr>
              <w:t>Zgodnie z danymi</w:t>
            </w:r>
            <w:r w:rsidR="006F41F7" w:rsidRPr="00277F6C">
              <w:rPr>
                <w:rFonts w:ascii="Times New Roman" w:hAnsi="Times New Roman" w:cs="Times New Roman"/>
                <w:spacing w:val="-2"/>
                <w:sz w:val="24"/>
                <w:szCs w:val="24"/>
              </w:rPr>
              <w:t xml:space="preserve"> ze </w:t>
            </w:r>
            <w:r w:rsidRPr="00277F6C">
              <w:rPr>
                <w:rFonts w:ascii="Times New Roman" w:hAnsi="Times New Roman" w:cs="Times New Roman"/>
                <w:spacing w:val="-2"/>
                <w:sz w:val="24"/>
                <w:szCs w:val="24"/>
              </w:rPr>
              <w:t>sprawozdań z prowadzonej działalności pocztowej w roku 2017 przekazanych przez operatorów pocztowych do Urzędu</w:t>
            </w:r>
            <w:r w:rsidR="005C31D4" w:rsidRPr="00277F6C">
              <w:rPr>
                <w:rFonts w:ascii="Times New Roman" w:hAnsi="Times New Roman" w:cs="Times New Roman"/>
                <w:spacing w:val="-2"/>
                <w:sz w:val="24"/>
                <w:szCs w:val="24"/>
              </w:rPr>
              <w:t> </w:t>
            </w:r>
            <w:r w:rsidRPr="00277F6C">
              <w:rPr>
                <w:rFonts w:ascii="Times New Roman" w:hAnsi="Times New Roman" w:cs="Times New Roman"/>
                <w:spacing w:val="-2"/>
                <w:sz w:val="24"/>
                <w:szCs w:val="24"/>
              </w:rPr>
              <w:t xml:space="preserve">Komunikacji Elektronicznej (w tym operatora wyznaczonego </w:t>
            </w:r>
            <w:r w:rsidR="006507C0" w:rsidRPr="00277F6C">
              <w:rPr>
                <w:rFonts w:ascii="Times New Roman" w:hAnsi="Times New Roman" w:cs="Times New Roman"/>
                <w:spacing w:val="-2"/>
                <w:sz w:val="24"/>
                <w:szCs w:val="24"/>
              </w:rPr>
              <w:t xml:space="preserve">- </w:t>
            </w:r>
            <w:r w:rsidRPr="00277F6C">
              <w:rPr>
                <w:rFonts w:ascii="Times New Roman" w:hAnsi="Times New Roman" w:cs="Times New Roman"/>
                <w:spacing w:val="-2"/>
                <w:sz w:val="24"/>
                <w:szCs w:val="24"/>
              </w:rPr>
              <w:t>Poczty Polskiej S.A.) wolumen przesyłek listowych obsługiwanych przez Pocztę Polską S.A. w rynku wyniósł 98,25%.</w:t>
            </w:r>
            <w:r w:rsidR="003B6890" w:rsidRPr="00277F6C">
              <w:rPr>
                <w:rStyle w:val="Odwoanieprzypisudolnego"/>
                <w:rFonts w:ascii="Times New Roman" w:hAnsi="Times New Roman" w:cs="Times New Roman"/>
                <w:spacing w:val="-2"/>
                <w:sz w:val="24"/>
                <w:szCs w:val="24"/>
              </w:rPr>
              <w:footnoteReference w:id="23"/>
            </w:r>
            <w:r w:rsidRPr="00277F6C">
              <w:rPr>
                <w:rFonts w:ascii="Times New Roman" w:hAnsi="Times New Roman" w:cs="Times New Roman"/>
                <w:spacing w:val="-2"/>
                <w:sz w:val="24"/>
                <w:szCs w:val="24"/>
              </w:rPr>
              <w:t>Jak zatem wynika z powyższych danych, udział pozostałych operatorów w rynku przesyłek listowych w roku 2017 był znikomy.</w:t>
            </w:r>
          </w:p>
          <w:p w14:paraId="0A32CF17" w14:textId="77777777" w:rsidR="00AB0982" w:rsidRPr="00277F6C" w:rsidRDefault="00CF1B85" w:rsidP="00277F6C">
            <w:pPr>
              <w:keepNext/>
              <w:keepLines/>
              <w:tabs>
                <w:tab w:val="left" w:pos="3000"/>
              </w:tabs>
              <w:spacing w:after="120"/>
              <w:jc w:val="both"/>
              <w:outlineLvl w:val="1"/>
              <w:rPr>
                <w:rFonts w:ascii="Times New Roman" w:hAnsi="Times New Roman" w:cs="Times New Roman"/>
                <w:spacing w:val="-2"/>
                <w:sz w:val="24"/>
                <w:szCs w:val="24"/>
              </w:rPr>
            </w:pPr>
            <w:r w:rsidRPr="00277F6C">
              <w:rPr>
                <w:rFonts w:ascii="Times New Roman" w:hAnsi="Times New Roman" w:cs="Times New Roman"/>
                <w:spacing w:val="-2"/>
                <w:sz w:val="24"/>
                <w:szCs w:val="24"/>
              </w:rPr>
              <w:t xml:space="preserve">Dodać należy, iż w prowadzonym przez Prezesa UKE Rejestrze operatorów pocztowych w roku 2017 wpisanych było, oprócz Poczty Polskiej S.A., 279 operatorów pocztowych, z czego aktywną działalność pocztową prowadziły jedynie 142 podmioty. </w:t>
            </w:r>
            <w:r w:rsidR="003B6890" w:rsidRPr="00277F6C">
              <w:rPr>
                <w:rFonts w:ascii="Times New Roman" w:hAnsi="Times New Roman" w:cs="Times New Roman"/>
                <w:spacing w:val="-2"/>
                <w:sz w:val="24"/>
                <w:szCs w:val="24"/>
              </w:rPr>
              <w:t>Ze sprawozdań wynika j</w:t>
            </w:r>
            <w:r w:rsidRPr="00277F6C">
              <w:rPr>
                <w:rFonts w:ascii="Times New Roman" w:hAnsi="Times New Roman" w:cs="Times New Roman"/>
                <w:spacing w:val="-2"/>
                <w:sz w:val="24"/>
                <w:szCs w:val="24"/>
              </w:rPr>
              <w:t>ednakże</w:t>
            </w:r>
            <w:r w:rsidR="003B6890" w:rsidRPr="00277F6C">
              <w:rPr>
                <w:rFonts w:ascii="Times New Roman" w:hAnsi="Times New Roman" w:cs="Times New Roman"/>
                <w:spacing w:val="-2"/>
                <w:sz w:val="24"/>
                <w:szCs w:val="24"/>
              </w:rPr>
              <w:t>, że</w:t>
            </w:r>
            <w:r w:rsidRPr="00277F6C">
              <w:rPr>
                <w:rFonts w:ascii="Times New Roman" w:hAnsi="Times New Roman" w:cs="Times New Roman"/>
                <w:spacing w:val="-2"/>
                <w:sz w:val="24"/>
                <w:szCs w:val="24"/>
              </w:rPr>
              <w:t xml:space="preserve"> działalność pocztową w zakresie przesyłek listowych w 2017 r. prowadziło wyłącznie 50 operatorów pocztowych.</w:t>
            </w:r>
            <w:r w:rsidR="003B6890" w:rsidRPr="00277F6C">
              <w:rPr>
                <w:rStyle w:val="Odwoanieprzypisudolnego"/>
                <w:rFonts w:ascii="Times New Roman" w:hAnsi="Times New Roman" w:cs="Times New Roman"/>
                <w:spacing w:val="-2"/>
                <w:sz w:val="24"/>
                <w:szCs w:val="24"/>
              </w:rPr>
              <w:footnoteReference w:id="24"/>
            </w:r>
          </w:p>
          <w:p w14:paraId="5A3F57A2" w14:textId="77777777" w:rsidR="00CF1B85" w:rsidRPr="00277F6C" w:rsidRDefault="00CF1B85" w:rsidP="00277F6C">
            <w:pPr>
              <w:pStyle w:val="Tekstpodstawowy2"/>
              <w:spacing w:line="240" w:lineRule="auto"/>
              <w:jc w:val="both"/>
              <w:rPr>
                <w:rFonts w:ascii="Times New Roman" w:hAnsi="Times New Roman" w:cs="Times New Roman"/>
                <w:b/>
                <w:bCs/>
                <w:color w:val="4F81BD" w:themeColor="accent1"/>
                <w:sz w:val="24"/>
                <w:szCs w:val="24"/>
              </w:rPr>
            </w:pPr>
            <w:r w:rsidRPr="00277F6C">
              <w:rPr>
                <w:rFonts w:ascii="Times New Roman" w:hAnsi="Times New Roman" w:cs="Times New Roman"/>
                <w:sz w:val="24"/>
                <w:szCs w:val="24"/>
              </w:rPr>
              <w:t xml:space="preserve">Najważniejszą rolę na rynku w roku 2017 odgrywała nadal – jako operator wyznaczony - Poczta Polska S.A., która w roku 2017 zrealizowała w strumieniach krajowym i zagranicznym 1 564,8 mln sztuk usług (83,8% udziału w wolumenie ogółem). Operatorzy alternatywni zrealizowali ogółem w obrocie krajowym i zagranicznym 303,3 mln sztuk usług (16,2% udziału w wolumenie ogółem). </w:t>
            </w:r>
          </w:p>
          <w:p w14:paraId="4B11B71F" w14:textId="77777777" w:rsidR="00AB0982" w:rsidRPr="00277F6C" w:rsidRDefault="00CF1B85" w:rsidP="00277F6C">
            <w:pPr>
              <w:pStyle w:val="Tekstpodstawowy2"/>
              <w:keepNext/>
              <w:keepLines/>
              <w:spacing w:line="240" w:lineRule="auto"/>
              <w:jc w:val="both"/>
              <w:outlineLvl w:val="1"/>
              <w:rPr>
                <w:rFonts w:ascii="Times New Roman" w:hAnsi="Times New Roman" w:cs="Times New Roman"/>
                <w:spacing w:val="-2"/>
                <w:sz w:val="24"/>
                <w:szCs w:val="24"/>
              </w:rPr>
            </w:pPr>
            <w:r w:rsidRPr="00277F6C">
              <w:rPr>
                <w:rFonts w:ascii="Times New Roman" w:hAnsi="Times New Roman" w:cs="Times New Roman"/>
                <w:sz w:val="24"/>
                <w:szCs w:val="24"/>
              </w:rPr>
              <w:t>Najliczniej realizowaną usługą nadal pozostawały listy, których dostarczono 1 353,0 mln szt., co jednak oznacza spadek o 2,4 % w</w:t>
            </w:r>
            <w:r w:rsidR="00631BA9" w:rsidRPr="00277F6C">
              <w:rPr>
                <w:rFonts w:ascii="Times New Roman" w:hAnsi="Times New Roman" w:cs="Times New Roman"/>
                <w:sz w:val="24"/>
                <w:szCs w:val="24"/>
              </w:rPr>
              <w:t> </w:t>
            </w:r>
            <w:r w:rsidRPr="00277F6C">
              <w:rPr>
                <w:rFonts w:ascii="Times New Roman" w:hAnsi="Times New Roman" w:cs="Times New Roman"/>
                <w:sz w:val="24"/>
                <w:szCs w:val="24"/>
              </w:rPr>
              <w:t xml:space="preserve">stosunku do roku 2016. </w:t>
            </w:r>
          </w:p>
          <w:p w14:paraId="01AAEEDE" w14:textId="77777777" w:rsidR="00CF1B85" w:rsidRPr="00277F6C" w:rsidRDefault="00CF1B85" w:rsidP="00277F6C">
            <w:pPr>
              <w:pStyle w:val="Tekstpodstawowy2"/>
              <w:spacing w:line="240" w:lineRule="auto"/>
              <w:jc w:val="both"/>
              <w:rPr>
                <w:rFonts w:ascii="Times New Roman" w:hAnsi="Times New Roman" w:cs="Times New Roman"/>
                <w:sz w:val="24"/>
                <w:szCs w:val="24"/>
              </w:rPr>
            </w:pPr>
            <w:r w:rsidRPr="00277F6C">
              <w:rPr>
                <w:rFonts w:ascii="Times New Roman" w:hAnsi="Times New Roman" w:cs="Times New Roman"/>
                <w:sz w:val="24"/>
                <w:szCs w:val="24"/>
              </w:rPr>
              <w:lastRenderedPageBreak/>
              <w:t xml:space="preserve">W odniesieniu do </w:t>
            </w:r>
            <w:r w:rsidR="003B6890" w:rsidRPr="00277F6C">
              <w:rPr>
                <w:rFonts w:ascii="Times New Roman" w:hAnsi="Times New Roman" w:cs="Times New Roman"/>
                <w:sz w:val="24"/>
                <w:szCs w:val="24"/>
              </w:rPr>
              <w:t>2016 roku</w:t>
            </w:r>
            <w:r w:rsidRPr="00277F6C">
              <w:rPr>
                <w:rFonts w:ascii="Times New Roman" w:hAnsi="Times New Roman" w:cs="Times New Roman"/>
                <w:sz w:val="24"/>
                <w:szCs w:val="24"/>
              </w:rPr>
              <w:t xml:space="preserve"> wolumen zrealizowanych przez operatorów alternatywnych usług zmniejszył się o 14,0%. Tak znaczne zmniejszenie wolumenu było uwarunkowane przede wszystkim obserwowanym w roku 2017 istotnym spadkiem wolumenu przesyłek listowych wchodzących w zakres usług powszechnych.</w:t>
            </w:r>
          </w:p>
          <w:p w14:paraId="5DDC11B0" w14:textId="315E9A17" w:rsidR="00CF1B85" w:rsidRPr="00277F6C" w:rsidRDefault="00CF1B85" w:rsidP="00277F6C">
            <w:pPr>
              <w:spacing w:after="120"/>
              <w:jc w:val="both"/>
              <w:rPr>
                <w:rFonts w:ascii="Times New Roman" w:hAnsi="Times New Roman" w:cs="Times New Roman"/>
                <w:spacing w:val="-2"/>
                <w:sz w:val="24"/>
                <w:szCs w:val="24"/>
              </w:rPr>
            </w:pPr>
            <w:r w:rsidRPr="00277F6C">
              <w:rPr>
                <w:rFonts w:ascii="Times New Roman" w:hAnsi="Times New Roman" w:cs="Times New Roman"/>
                <w:sz w:val="24"/>
                <w:szCs w:val="24"/>
              </w:rPr>
              <w:t>W poszczególnych najważniejszych rodzajach usług świadczonych na rynku pocztowym dynamika zmian, zarówno w zakresie liczby usług, jak i generowanych przychodów, odpowiada trendom charakterystycznym dla rynków pocztowych na całym świecie (e</w:t>
            </w:r>
            <w:r w:rsidR="00631BA9" w:rsidRPr="00277F6C">
              <w:rPr>
                <w:rFonts w:ascii="Times New Roman" w:hAnsi="Times New Roman" w:cs="Times New Roman"/>
                <w:sz w:val="24"/>
                <w:szCs w:val="24"/>
              </w:rPr>
              <w:noBreakHyphen/>
            </w:r>
            <w:r w:rsidRPr="00277F6C">
              <w:rPr>
                <w:rFonts w:ascii="Times New Roman" w:hAnsi="Times New Roman" w:cs="Times New Roman"/>
                <w:sz w:val="24"/>
                <w:szCs w:val="24"/>
              </w:rPr>
              <w:t>substytucja, rozwój e-commerce).</w:t>
            </w:r>
            <w:r w:rsidR="003B6890" w:rsidRPr="00277F6C">
              <w:rPr>
                <w:rStyle w:val="Odwoanieprzypisudolnego"/>
                <w:rFonts w:ascii="Times New Roman" w:hAnsi="Times New Roman" w:cs="Times New Roman"/>
                <w:sz w:val="24"/>
                <w:szCs w:val="24"/>
              </w:rPr>
              <w:footnoteReference w:id="25"/>
            </w:r>
          </w:p>
        </w:tc>
      </w:tr>
      <w:tr w:rsidR="003A6F7A" w:rsidRPr="008C7038" w14:paraId="6ED7AB5A" w14:textId="77777777" w:rsidTr="008C7038">
        <w:trPr>
          <w:trHeight w:val="142"/>
        </w:trPr>
        <w:tc>
          <w:tcPr>
            <w:tcW w:w="1571" w:type="dxa"/>
            <w:vMerge w:val="restart"/>
            <w:shd w:val="clear" w:color="auto" w:fill="FFFFFF"/>
          </w:tcPr>
          <w:p w14:paraId="28FF3AE0"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lastRenderedPageBreak/>
              <w:t>Niemierzalne</w:t>
            </w:r>
          </w:p>
        </w:tc>
        <w:tc>
          <w:tcPr>
            <w:tcW w:w="2266" w:type="dxa"/>
            <w:gridSpan w:val="7"/>
            <w:shd w:val="clear" w:color="auto" w:fill="FFFFFF"/>
          </w:tcPr>
          <w:p w14:paraId="62825F8A" w14:textId="77777777" w:rsidR="003A6F7A" w:rsidRPr="008C7038" w:rsidRDefault="003A6F7A" w:rsidP="003A6F7A">
            <w:pPr>
              <w:spacing w:line="257" w:lineRule="auto"/>
              <w:rPr>
                <w:rFonts w:ascii="Times New Roman" w:hAnsi="Times New Roman" w:cs="Times New Roman"/>
                <w:sz w:val="24"/>
                <w:szCs w:val="24"/>
              </w:rPr>
            </w:pPr>
          </w:p>
        </w:tc>
        <w:tc>
          <w:tcPr>
            <w:tcW w:w="7119" w:type="dxa"/>
            <w:gridSpan w:val="21"/>
            <w:shd w:val="clear" w:color="auto" w:fill="FFFFFF"/>
          </w:tcPr>
          <w:p w14:paraId="3E982BDE" w14:textId="77777777" w:rsidR="003A6F7A" w:rsidRPr="008C7038" w:rsidRDefault="003A6F7A" w:rsidP="003A6F7A">
            <w:pPr>
              <w:spacing w:line="257" w:lineRule="auto"/>
              <w:rPr>
                <w:rFonts w:ascii="Times New Roman" w:hAnsi="Times New Roman" w:cs="Times New Roman"/>
                <w:spacing w:val="-2"/>
                <w:sz w:val="24"/>
                <w:szCs w:val="24"/>
              </w:rPr>
            </w:pPr>
          </w:p>
        </w:tc>
      </w:tr>
      <w:tr w:rsidR="003A6F7A" w:rsidRPr="008C7038" w14:paraId="4DC7B573" w14:textId="77777777" w:rsidTr="008C7038">
        <w:trPr>
          <w:trHeight w:val="142"/>
        </w:trPr>
        <w:tc>
          <w:tcPr>
            <w:tcW w:w="1571" w:type="dxa"/>
            <w:vMerge/>
            <w:shd w:val="clear" w:color="auto" w:fill="FFFFFF"/>
          </w:tcPr>
          <w:p w14:paraId="62D59561" w14:textId="77777777" w:rsidR="003A6F7A" w:rsidRPr="008C7038" w:rsidRDefault="003A6F7A" w:rsidP="003A6F7A">
            <w:pPr>
              <w:spacing w:line="257" w:lineRule="auto"/>
              <w:rPr>
                <w:rFonts w:ascii="Times New Roman" w:hAnsi="Times New Roman" w:cs="Times New Roman"/>
                <w:sz w:val="24"/>
                <w:szCs w:val="24"/>
              </w:rPr>
            </w:pPr>
          </w:p>
        </w:tc>
        <w:tc>
          <w:tcPr>
            <w:tcW w:w="2266" w:type="dxa"/>
            <w:gridSpan w:val="7"/>
            <w:shd w:val="clear" w:color="auto" w:fill="FFFFFF"/>
          </w:tcPr>
          <w:p w14:paraId="36D0837B" w14:textId="77777777" w:rsidR="003A6F7A" w:rsidRPr="008C7038" w:rsidRDefault="003A6F7A" w:rsidP="003A6F7A">
            <w:pPr>
              <w:spacing w:line="257" w:lineRule="auto"/>
              <w:rPr>
                <w:rFonts w:ascii="Times New Roman" w:hAnsi="Times New Roman" w:cs="Times New Roman"/>
                <w:sz w:val="24"/>
                <w:szCs w:val="24"/>
              </w:rPr>
            </w:pPr>
          </w:p>
        </w:tc>
        <w:tc>
          <w:tcPr>
            <w:tcW w:w="7119" w:type="dxa"/>
            <w:gridSpan w:val="21"/>
            <w:shd w:val="clear" w:color="auto" w:fill="FFFFFF"/>
          </w:tcPr>
          <w:p w14:paraId="7850C5F8" w14:textId="77777777" w:rsidR="003A6F7A" w:rsidRPr="008C7038" w:rsidRDefault="003A6F7A" w:rsidP="003A6F7A">
            <w:pPr>
              <w:spacing w:line="257" w:lineRule="auto"/>
              <w:rPr>
                <w:rFonts w:ascii="Times New Roman" w:hAnsi="Times New Roman" w:cs="Times New Roman"/>
                <w:spacing w:val="-2"/>
                <w:sz w:val="24"/>
                <w:szCs w:val="24"/>
              </w:rPr>
            </w:pPr>
          </w:p>
        </w:tc>
      </w:tr>
      <w:tr w:rsidR="003A6F7A" w:rsidRPr="008C7038" w14:paraId="6C2A2F14" w14:textId="77777777" w:rsidTr="008C7038">
        <w:trPr>
          <w:trHeight w:val="1643"/>
        </w:trPr>
        <w:tc>
          <w:tcPr>
            <w:tcW w:w="2127" w:type="dxa"/>
            <w:gridSpan w:val="3"/>
            <w:shd w:val="clear" w:color="auto" w:fill="FFFFFF"/>
          </w:tcPr>
          <w:p w14:paraId="0188EE73"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Dodatkowe informacje, w tym wskazanie źródeł danych i przyjętych do obliczeń założeń </w:t>
            </w:r>
          </w:p>
        </w:tc>
        <w:tc>
          <w:tcPr>
            <w:tcW w:w="8829" w:type="dxa"/>
            <w:gridSpan w:val="26"/>
            <w:shd w:val="clear" w:color="auto" w:fill="FFFFFF"/>
            <w:vAlign w:val="center"/>
          </w:tcPr>
          <w:p w14:paraId="7D3053F1" w14:textId="77777777" w:rsidR="003A6F7A" w:rsidRPr="008C7038" w:rsidRDefault="003A6F7A" w:rsidP="00277F6C">
            <w:pPr>
              <w:pStyle w:val="Akapitzlist"/>
              <w:numPr>
                <w:ilvl w:val="0"/>
                <w:numId w:val="10"/>
              </w:numPr>
              <w:spacing w:after="120"/>
              <w:ind w:left="346" w:hanging="357"/>
              <w:contextualSpacing w:val="0"/>
              <w:jc w:val="right"/>
              <w:rPr>
                <w:rFonts w:ascii="Times New Roman" w:hAnsi="Times New Roman" w:cs="Times New Roman"/>
                <w:sz w:val="24"/>
                <w:szCs w:val="24"/>
              </w:rPr>
            </w:pPr>
            <w:r w:rsidRPr="008C7038">
              <w:rPr>
                <w:rFonts w:ascii="Times New Roman" w:hAnsi="Times New Roman" w:cs="Times New Roman"/>
                <w:sz w:val="24"/>
                <w:szCs w:val="24"/>
              </w:rPr>
              <w:t xml:space="preserve">Na przestrzeni ostatnich 15 lat na podstawie danych z raportów „Społeczeństwo informacyjne w Polsce” współczynnik osób wykluczonych cyfrowo znacznie się zmniejszył, w 2002 r. 17% społeczeństwa deklarowało wykorzystywanie internetu w życiu codziennym, tj. korzystanie z poczty e-mail, stron www, komunikatora internetowego itp., w 2007 r. 41% społeczeństwa, a w 2017 r. deklarowało aż 78% społeczeństwa. </w:t>
            </w:r>
          </w:p>
          <w:p w14:paraId="42113E29" w14:textId="77777777" w:rsidR="003A6F7A" w:rsidRPr="008C7038" w:rsidRDefault="003A6F7A" w:rsidP="00277F6C">
            <w:pPr>
              <w:pStyle w:val="Akapitzlist"/>
              <w:numPr>
                <w:ilvl w:val="0"/>
                <w:numId w:val="10"/>
              </w:numPr>
              <w:spacing w:after="120"/>
              <w:ind w:left="346" w:hanging="357"/>
              <w:contextualSpacing w:val="0"/>
              <w:jc w:val="right"/>
              <w:rPr>
                <w:rFonts w:ascii="Times New Roman" w:hAnsi="Times New Roman" w:cs="Times New Roman"/>
                <w:sz w:val="24"/>
                <w:szCs w:val="24"/>
              </w:rPr>
            </w:pPr>
            <w:r w:rsidRPr="008C7038">
              <w:rPr>
                <w:rFonts w:ascii="Times New Roman" w:hAnsi="Times New Roman" w:cs="Times New Roman"/>
                <w:sz w:val="24"/>
                <w:szCs w:val="24"/>
              </w:rPr>
              <w:t>Biorąc pod uwagę zapisy deklaracji z Tallina, europejscy operatorzy łączą w ramach e-Doręczenia usługi elektroniczne z rozwiązaniami hybrydowymi (m.in. Francja, Niemcy i Czechy). W każdym z tych krajów operator e</w:t>
            </w:r>
            <w:r w:rsidRPr="008C7038">
              <w:rPr>
                <w:rFonts w:ascii="Times New Roman" w:hAnsi="Times New Roman" w:cs="Times New Roman"/>
                <w:sz w:val="24"/>
                <w:szCs w:val="24"/>
              </w:rPr>
              <w:noBreakHyphen/>
              <w:t xml:space="preserve">Doręczenia posiada ok. 1 mln użytkowników. </w:t>
            </w:r>
          </w:p>
          <w:p w14:paraId="2A8A88C8" w14:textId="77777777" w:rsidR="003A6F7A" w:rsidRPr="008C7038" w:rsidRDefault="003A6F7A" w:rsidP="00277F6C">
            <w:pPr>
              <w:pStyle w:val="Akapitzlist"/>
              <w:numPr>
                <w:ilvl w:val="0"/>
                <w:numId w:val="10"/>
              </w:numPr>
              <w:ind w:left="346"/>
              <w:jc w:val="right"/>
              <w:rPr>
                <w:rFonts w:ascii="Times New Roman" w:hAnsi="Times New Roman" w:cs="Times New Roman"/>
                <w:sz w:val="24"/>
                <w:szCs w:val="24"/>
              </w:rPr>
            </w:pPr>
            <w:r w:rsidRPr="008C7038">
              <w:rPr>
                <w:rFonts w:ascii="Times New Roman" w:hAnsi="Times New Roman" w:cs="Times New Roman"/>
                <w:sz w:val="24"/>
                <w:szCs w:val="24"/>
              </w:rPr>
              <w:t xml:space="preserve">Podobne rozwiązanie jest w Polsce oferowane komercyjnie dla obywateli przez platformę Grupy Kapitałowej Poczty Polskiej. Platforma ta jest w stanie już w chwili obecnej odpowiedzieć na potrzeby klientów w zakresie obsługi korespondencji nie tylko tradycyjnej, ale również elektronicznej, skupiając w jednym miejscu obsługę produktów: </w:t>
            </w:r>
          </w:p>
          <w:p w14:paraId="1FAE2AFD" w14:textId="77777777" w:rsidR="003A6F7A" w:rsidRPr="008C7038" w:rsidRDefault="003A6F7A" w:rsidP="00277F6C">
            <w:pPr>
              <w:pStyle w:val="Akapitzlist"/>
              <w:numPr>
                <w:ilvl w:val="0"/>
                <w:numId w:val="9"/>
              </w:numPr>
              <w:ind w:left="346" w:firstLine="0"/>
              <w:jc w:val="right"/>
              <w:rPr>
                <w:rFonts w:ascii="Times New Roman" w:hAnsi="Times New Roman" w:cs="Times New Roman"/>
                <w:sz w:val="24"/>
                <w:szCs w:val="24"/>
              </w:rPr>
            </w:pPr>
            <w:r w:rsidRPr="008C7038">
              <w:rPr>
                <w:rFonts w:ascii="Times New Roman" w:hAnsi="Times New Roman" w:cs="Times New Roman"/>
                <w:b/>
                <w:sz w:val="24"/>
                <w:szCs w:val="24"/>
              </w:rPr>
              <w:t>elektronicznych</w:t>
            </w:r>
            <w:r w:rsidRPr="008C7038">
              <w:rPr>
                <w:rFonts w:ascii="Times New Roman" w:hAnsi="Times New Roman" w:cs="Times New Roman"/>
                <w:sz w:val="24"/>
                <w:szCs w:val="24"/>
              </w:rPr>
              <w:t xml:space="preserve"> – bez analogowych elementów procesu,</w:t>
            </w:r>
          </w:p>
          <w:p w14:paraId="77B3E693" w14:textId="77777777" w:rsidR="003A6F7A" w:rsidRPr="008C7038" w:rsidRDefault="003A6F7A" w:rsidP="00277F6C">
            <w:pPr>
              <w:pStyle w:val="Akapitzlist"/>
              <w:numPr>
                <w:ilvl w:val="0"/>
                <w:numId w:val="9"/>
              </w:numPr>
              <w:ind w:left="346" w:firstLine="0"/>
              <w:jc w:val="right"/>
              <w:rPr>
                <w:rFonts w:ascii="Times New Roman" w:hAnsi="Times New Roman" w:cs="Times New Roman"/>
                <w:sz w:val="24"/>
                <w:szCs w:val="24"/>
              </w:rPr>
            </w:pPr>
            <w:r w:rsidRPr="008C7038">
              <w:rPr>
                <w:rFonts w:ascii="Times New Roman" w:hAnsi="Times New Roman" w:cs="Times New Roman"/>
                <w:b/>
                <w:sz w:val="24"/>
                <w:szCs w:val="24"/>
              </w:rPr>
              <w:t>hybrydowych</w:t>
            </w:r>
            <w:r w:rsidRPr="008C7038">
              <w:rPr>
                <w:rFonts w:ascii="Times New Roman" w:hAnsi="Times New Roman" w:cs="Times New Roman"/>
                <w:sz w:val="24"/>
                <w:szCs w:val="24"/>
              </w:rPr>
              <w:t xml:space="preserve"> – w wyniku których pojawia się fizyczna przesyłka listowa dostarczana do odbiorcy standardowymi metodami lub </w:t>
            </w:r>
            <w:r w:rsidRPr="008C7038">
              <w:rPr>
                <w:rFonts w:ascii="Times New Roman" w:hAnsi="Times New Roman" w:cs="Times New Roman"/>
                <w:bCs/>
                <w:sz w:val="24"/>
                <w:szCs w:val="24"/>
              </w:rPr>
              <w:t>odebrana korespondencja tradycyjna zamieniona na postać elektroniczną poprzez skanowanie koperty i jej zawartości.</w:t>
            </w:r>
          </w:p>
          <w:p w14:paraId="4BA19E39" w14:textId="77777777" w:rsidR="003A6F7A" w:rsidRPr="008C7038" w:rsidRDefault="003A6F7A" w:rsidP="00277F6C">
            <w:pPr>
              <w:spacing w:after="120"/>
              <w:ind w:left="346"/>
              <w:jc w:val="right"/>
              <w:rPr>
                <w:rFonts w:ascii="Times New Roman" w:hAnsi="Times New Roman" w:cs="Times New Roman"/>
                <w:sz w:val="24"/>
                <w:szCs w:val="24"/>
              </w:rPr>
            </w:pPr>
            <w:r w:rsidRPr="008C7038">
              <w:rPr>
                <w:rFonts w:ascii="Times New Roman" w:hAnsi="Times New Roman" w:cs="Times New Roman"/>
                <w:sz w:val="24"/>
                <w:szCs w:val="24"/>
              </w:rPr>
              <w:t>Obecnie z rozwiązań tych korzysta 220 tys. użytkowników, którzy wysyłają ok. 20 mln przesyłek hybrydowych rocznie. Obsługująca je platforma zapewnia bezpieczeństwo przesyłania danych na każdym etapie korespondencji. Każdy z tych etapów od momentu przyjęcia pliku z dokumentami</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poprzez jego wygenerowanie i zapis w repozytorium po przekazanie</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do druku</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jest zapisany w statusie przesyłki, co wpływa na wysoką jakość świadczonej usługi. </w:t>
            </w:r>
          </w:p>
          <w:p w14:paraId="3272C3BE" w14:textId="5F672099" w:rsidR="000B7953" w:rsidRPr="008C7038" w:rsidRDefault="003A6F7A" w:rsidP="00277F6C">
            <w:pPr>
              <w:pStyle w:val="Akapitzlist"/>
              <w:numPr>
                <w:ilvl w:val="0"/>
                <w:numId w:val="10"/>
              </w:numPr>
              <w:ind w:left="346"/>
              <w:jc w:val="right"/>
              <w:rPr>
                <w:rFonts w:ascii="Times New Roman" w:hAnsi="Times New Roman" w:cs="Times New Roman"/>
                <w:sz w:val="24"/>
                <w:szCs w:val="24"/>
              </w:rPr>
            </w:pPr>
            <w:r w:rsidRPr="008C7038">
              <w:rPr>
                <w:rFonts w:ascii="Times New Roman" w:hAnsi="Times New Roman" w:cs="Times New Roman"/>
                <w:sz w:val="24"/>
                <w:szCs w:val="24"/>
              </w:rPr>
              <w:t xml:space="preserve">Zgodnie z cennikiem Poczty Polskiej koszt listu poleconego ekonomicznego za potwierdzeniem odbioru wynosi 7.80 zł. Wprowadzenie usługi e-Doręczeń, zapewniającej obywatelom i przedsiębiorcom możliwość bezpłatnego doręczania pism podmiotom publicznym, spowoduje oszczędności dla tych przedsiębiorców i obywateli, którzy zastąpią e-Doręczeniem obecne przesyłki polecone. </w:t>
            </w:r>
          </w:p>
          <w:p w14:paraId="77CC1AB9" w14:textId="77777777" w:rsidR="000B7953" w:rsidRPr="008C7038" w:rsidRDefault="000B7953" w:rsidP="000B7953">
            <w:pPr>
              <w:spacing w:line="257" w:lineRule="auto"/>
              <w:rPr>
                <w:rFonts w:ascii="Times New Roman" w:hAnsi="Times New Roman" w:cs="Times New Roman"/>
                <w:sz w:val="24"/>
                <w:szCs w:val="24"/>
              </w:rPr>
            </w:pPr>
          </w:p>
        </w:tc>
      </w:tr>
      <w:tr w:rsidR="003A6F7A" w:rsidRPr="008C7038" w14:paraId="70CE6C08" w14:textId="77777777" w:rsidTr="008C7038">
        <w:trPr>
          <w:gridAfter w:val="2"/>
          <w:wAfter w:w="124" w:type="dxa"/>
          <w:trHeight w:val="342"/>
        </w:trPr>
        <w:tc>
          <w:tcPr>
            <w:tcW w:w="10832" w:type="dxa"/>
            <w:gridSpan w:val="27"/>
            <w:shd w:val="clear" w:color="auto" w:fill="99CCFF"/>
            <w:vAlign w:val="center"/>
          </w:tcPr>
          <w:p w14:paraId="295D067B" w14:textId="77777777" w:rsidR="003A6F7A" w:rsidRPr="008C7038" w:rsidRDefault="003A6F7A" w:rsidP="003A6F7A">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t xml:space="preserve"> Zmiana obciążeń regulacyjnych (w tym obowiązków informacyjnych) wynikających z projektu</w:t>
            </w:r>
          </w:p>
        </w:tc>
      </w:tr>
      <w:tr w:rsidR="003A6F7A" w:rsidRPr="008C7038" w14:paraId="2AEA0838" w14:textId="77777777" w:rsidTr="008C7038">
        <w:trPr>
          <w:gridAfter w:val="2"/>
          <w:wAfter w:w="124" w:type="dxa"/>
          <w:trHeight w:val="151"/>
        </w:trPr>
        <w:tc>
          <w:tcPr>
            <w:tcW w:w="10832" w:type="dxa"/>
            <w:gridSpan w:val="27"/>
            <w:shd w:val="clear" w:color="auto" w:fill="FFFFFF"/>
          </w:tcPr>
          <w:p w14:paraId="018A1F93"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nie dotyczy</w:t>
            </w:r>
          </w:p>
        </w:tc>
      </w:tr>
      <w:tr w:rsidR="003A6F7A" w:rsidRPr="008C7038" w14:paraId="0527015C" w14:textId="77777777" w:rsidTr="008C7038">
        <w:trPr>
          <w:gridAfter w:val="2"/>
          <w:wAfter w:w="124" w:type="dxa"/>
          <w:trHeight w:val="946"/>
        </w:trPr>
        <w:tc>
          <w:tcPr>
            <w:tcW w:w="5047" w:type="dxa"/>
            <w:gridSpan w:val="13"/>
            <w:shd w:val="clear" w:color="auto" w:fill="FFFFFF"/>
          </w:tcPr>
          <w:p w14:paraId="6F4A2090"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Wprowadzane są obciążenia poza bezwzględnie wymaganymi przez UE </w:t>
            </w:r>
            <w:r w:rsidRPr="008C7038">
              <w:rPr>
                <w:rFonts w:ascii="Times New Roman" w:hAnsi="Times New Roman" w:cs="Times New Roman"/>
                <w:sz w:val="24"/>
                <w:szCs w:val="24"/>
              </w:rPr>
              <w:t>(szczegóły w odwróconej tabeli zgodności).</w:t>
            </w:r>
          </w:p>
        </w:tc>
        <w:tc>
          <w:tcPr>
            <w:tcW w:w="5785" w:type="dxa"/>
            <w:gridSpan w:val="14"/>
            <w:shd w:val="clear" w:color="auto" w:fill="FFFFFF"/>
          </w:tcPr>
          <w:p w14:paraId="09D01FF3"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tak</w:t>
            </w:r>
          </w:p>
          <w:p w14:paraId="1066713E"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w:t>
            </w:r>
          </w:p>
          <w:p w14:paraId="45130155"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 dotyczy</w:t>
            </w:r>
          </w:p>
        </w:tc>
      </w:tr>
      <w:tr w:rsidR="003A6F7A" w:rsidRPr="008C7038" w14:paraId="04DFC7D0" w14:textId="77777777" w:rsidTr="008C7038">
        <w:trPr>
          <w:gridAfter w:val="2"/>
          <w:wAfter w:w="124" w:type="dxa"/>
          <w:trHeight w:val="1245"/>
        </w:trPr>
        <w:tc>
          <w:tcPr>
            <w:tcW w:w="5047" w:type="dxa"/>
            <w:gridSpan w:val="13"/>
            <w:shd w:val="clear" w:color="auto" w:fill="FFFFFF"/>
          </w:tcPr>
          <w:p w14:paraId="446BD3FA"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lastRenderedPageBreak/>
              <w:t>☒</w:t>
            </w:r>
            <w:r w:rsidRPr="008C7038">
              <w:rPr>
                <w:rFonts w:ascii="Times New Roman" w:hAnsi="Times New Roman" w:cs="Times New Roman"/>
                <w:spacing w:val="-2"/>
                <w:sz w:val="24"/>
                <w:szCs w:val="24"/>
              </w:rPr>
              <w:t xml:space="preserve"> zmniejszenie liczby dokumentów </w:t>
            </w:r>
          </w:p>
          <w:p w14:paraId="77B00871"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zmniejszenie liczby procedur</w:t>
            </w:r>
          </w:p>
          <w:p w14:paraId="3740C319"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skrócenie czasu na załatwienie sprawy</w:t>
            </w:r>
          </w:p>
          <w:p w14:paraId="4A896D39" w14:textId="77777777" w:rsidR="003A6F7A" w:rsidRPr="008C7038" w:rsidRDefault="003A6F7A" w:rsidP="003A6F7A">
            <w:pPr>
              <w:spacing w:line="257" w:lineRule="auto"/>
              <w:rPr>
                <w:rFonts w:ascii="Times New Roman" w:hAnsi="Times New Roman" w:cs="Times New Roman"/>
                <w:b/>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inne:</w:t>
            </w:r>
            <w:r w:rsidRPr="008C7038">
              <w:rPr>
                <w:rFonts w:ascii="Times New Roman" w:hAnsi="Times New Roman" w:cs="Times New Roman"/>
                <w:sz w:val="24"/>
                <w:szCs w:val="24"/>
              </w:rPr>
              <w:t xml:space="preserve"> …</w:t>
            </w:r>
          </w:p>
        </w:tc>
        <w:tc>
          <w:tcPr>
            <w:tcW w:w="5785" w:type="dxa"/>
            <w:gridSpan w:val="14"/>
            <w:shd w:val="clear" w:color="auto" w:fill="FFFFFF"/>
          </w:tcPr>
          <w:p w14:paraId="15300711"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zwiększenie liczby dokumentów</w:t>
            </w:r>
          </w:p>
          <w:p w14:paraId="6E8BC51B"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w:t>
            </w:r>
            <w:r w:rsidRPr="008C7038">
              <w:rPr>
                <w:rFonts w:ascii="Times New Roman" w:hAnsi="Times New Roman" w:cs="Times New Roman"/>
                <w:spacing w:val="-2"/>
                <w:sz w:val="24"/>
                <w:szCs w:val="24"/>
              </w:rPr>
              <w:t>zwiększenie liczby procedur</w:t>
            </w:r>
          </w:p>
          <w:p w14:paraId="031583EA"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wydłużenie czasu na załatwienie sprawy</w:t>
            </w:r>
          </w:p>
          <w:p w14:paraId="6B725915"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inne:</w:t>
            </w:r>
            <w:r w:rsidRPr="008C7038">
              <w:rPr>
                <w:rFonts w:ascii="Times New Roman" w:hAnsi="Times New Roman" w:cs="Times New Roman"/>
                <w:sz w:val="24"/>
                <w:szCs w:val="24"/>
              </w:rPr>
              <w:t xml:space="preserve"> …</w:t>
            </w:r>
          </w:p>
          <w:p w14:paraId="1CD079DD" w14:textId="77777777" w:rsidR="003A6F7A" w:rsidRPr="008C7038" w:rsidRDefault="003A6F7A" w:rsidP="003A6F7A">
            <w:pPr>
              <w:spacing w:line="257" w:lineRule="auto"/>
              <w:rPr>
                <w:rFonts w:ascii="Times New Roman" w:hAnsi="Times New Roman" w:cs="Times New Roman"/>
                <w:sz w:val="24"/>
                <w:szCs w:val="24"/>
              </w:rPr>
            </w:pPr>
          </w:p>
        </w:tc>
      </w:tr>
      <w:tr w:rsidR="003A6F7A" w:rsidRPr="008C7038" w14:paraId="479FDFB0" w14:textId="77777777" w:rsidTr="008C7038">
        <w:trPr>
          <w:gridAfter w:val="2"/>
          <w:wAfter w:w="124" w:type="dxa"/>
          <w:trHeight w:val="870"/>
        </w:trPr>
        <w:tc>
          <w:tcPr>
            <w:tcW w:w="5047" w:type="dxa"/>
            <w:gridSpan w:val="13"/>
            <w:shd w:val="clear" w:color="auto" w:fill="FFFFFF"/>
          </w:tcPr>
          <w:p w14:paraId="180136B4"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pacing w:val="-2"/>
                <w:sz w:val="24"/>
                <w:szCs w:val="24"/>
              </w:rPr>
              <w:t xml:space="preserve">Wprowadzane obciążenia są przystosowane do ich elektronizacji. </w:t>
            </w:r>
          </w:p>
        </w:tc>
        <w:tc>
          <w:tcPr>
            <w:tcW w:w="5785" w:type="dxa"/>
            <w:gridSpan w:val="14"/>
            <w:shd w:val="clear" w:color="auto" w:fill="FFFFFF"/>
          </w:tcPr>
          <w:p w14:paraId="019C5D74"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tak</w:t>
            </w:r>
          </w:p>
          <w:p w14:paraId="66B9D83F"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w:t>
            </w:r>
          </w:p>
          <w:p w14:paraId="02A9D011"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nie dotyczy</w:t>
            </w:r>
          </w:p>
        </w:tc>
      </w:tr>
      <w:tr w:rsidR="003A6F7A" w:rsidRPr="008C7038" w14:paraId="1F9E0C83" w14:textId="77777777" w:rsidTr="008C7038">
        <w:trPr>
          <w:gridAfter w:val="2"/>
          <w:wAfter w:w="124" w:type="dxa"/>
          <w:trHeight w:val="630"/>
        </w:trPr>
        <w:tc>
          <w:tcPr>
            <w:tcW w:w="10832" w:type="dxa"/>
            <w:gridSpan w:val="27"/>
            <w:shd w:val="clear" w:color="auto" w:fill="FFFFFF"/>
          </w:tcPr>
          <w:p w14:paraId="5B552FAA" w14:textId="77777777" w:rsidR="003A6F7A"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Komentarz:</w:t>
            </w:r>
          </w:p>
          <w:p w14:paraId="6E127D99" w14:textId="77777777" w:rsidR="003A6F7A"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Wprowadzane obciążenia regulacyjne dotyczą kwalifikowanych dostawców usług zaufania. Podmioty te będą musiały świadczyć kwalifikowaną usługę rejestrowanego doręczenia elektronicznego</w:t>
            </w:r>
            <w:r w:rsidR="009637FD" w:rsidRPr="008C7038">
              <w:rPr>
                <w:rFonts w:ascii="Times New Roman" w:hAnsi="Times New Roman" w:cs="Times New Roman"/>
                <w:sz w:val="24"/>
                <w:szCs w:val="24"/>
              </w:rPr>
              <w:t xml:space="preserve"> </w:t>
            </w:r>
            <w:r w:rsidR="00501401" w:rsidRPr="008C7038">
              <w:rPr>
                <w:rFonts w:ascii="Times New Roman" w:hAnsi="Times New Roman" w:cs="Times New Roman"/>
                <w:sz w:val="24"/>
                <w:szCs w:val="24"/>
              </w:rPr>
              <w:t>z</w:t>
            </w:r>
            <w:r w:rsidRPr="008C7038">
              <w:rPr>
                <w:rFonts w:ascii="Times New Roman" w:hAnsi="Times New Roman" w:cs="Times New Roman"/>
                <w:sz w:val="24"/>
                <w:szCs w:val="24"/>
              </w:rPr>
              <w:t>godnie ze standardem</w:t>
            </w:r>
            <w:r w:rsidR="00501401" w:rsidRPr="008C7038">
              <w:rPr>
                <w:rFonts w:ascii="Times New Roman" w:eastAsiaTheme="minorEastAsia" w:hAnsi="Times New Roman" w:cs="Times New Roman"/>
                <w:sz w:val="24"/>
                <w:szCs w:val="20"/>
                <w:lang w:eastAsia="pl-PL"/>
              </w:rPr>
              <w:t xml:space="preserve"> </w:t>
            </w:r>
            <w:r w:rsidR="006C70CE" w:rsidRPr="008C7038">
              <w:rPr>
                <w:rFonts w:ascii="Times New Roman" w:hAnsi="Times New Roman" w:cs="Times New Roman"/>
                <w:sz w:val="24"/>
                <w:szCs w:val="24"/>
              </w:rPr>
              <w:t>usługi rejestrowanego doręczenia elektronicznego</w:t>
            </w:r>
            <w:r w:rsidR="00501401" w:rsidRPr="008C7038">
              <w:rPr>
                <w:rFonts w:ascii="Times New Roman" w:hAnsi="Times New Roman" w:cs="Times New Roman"/>
                <w:sz w:val="24"/>
                <w:szCs w:val="24"/>
              </w:rPr>
              <w:t xml:space="preserve">, </w:t>
            </w:r>
            <w:r w:rsidR="006C70CE" w:rsidRPr="008C7038">
              <w:rPr>
                <w:rFonts w:ascii="Times New Roman" w:hAnsi="Times New Roman" w:cs="Times New Roman"/>
                <w:sz w:val="24"/>
                <w:szCs w:val="24"/>
              </w:rPr>
              <w:t xml:space="preserve">który zostanie </w:t>
            </w:r>
            <w:r w:rsidR="00501401" w:rsidRPr="008C7038">
              <w:rPr>
                <w:rFonts w:ascii="Times New Roman" w:hAnsi="Times New Roman" w:cs="Times New Roman"/>
                <w:sz w:val="24"/>
                <w:szCs w:val="24"/>
              </w:rPr>
              <w:t xml:space="preserve">wypracowany </w:t>
            </w:r>
            <w:r w:rsidR="006C70CE" w:rsidRPr="008C7038">
              <w:rPr>
                <w:rFonts w:ascii="Times New Roman" w:hAnsi="Times New Roman" w:cs="Times New Roman"/>
                <w:sz w:val="24"/>
                <w:szCs w:val="24"/>
              </w:rPr>
              <w:t>w ramach projektu e-Doręczenia</w:t>
            </w:r>
            <w:r w:rsidR="00501401" w:rsidRPr="008C7038">
              <w:rPr>
                <w:rFonts w:ascii="Times New Roman" w:hAnsi="Times New Roman" w:cs="Times New Roman"/>
                <w:sz w:val="24"/>
                <w:szCs w:val="24"/>
              </w:rPr>
              <w:t xml:space="preserve"> na bazie europejskich standardów wydawanych przez ETSI a następnie po odpowiednim procedowaniu określony i udostępniony w Biuletynie Informacji Publicznej przez Prezesa Rady Ministrów</w:t>
            </w:r>
            <w:r w:rsidRPr="008C7038">
              <w:rPr>
                <w:rFonts w:ascii="Times New Roman" w:hAnsi="Times New Roman" w:cs="Times New Roman"/>
                <w:sz w:val="24"/>
                <w:szCs w:val="24"/>
              </w:rPr>
              <w:t>. Standard będzie dotyczył technicznych aspektów rozwiązania.</w:t>
            </w:r>
          </w:p>
          <w:p w14:paraId="5669458D" w14:textId="77777777" w:rsidR="003A6F7A"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Pozostałe obowiązki dla kwalifikowanych dostawców usług zaufania wynikają z obecnie obowiązujących przepisów ustawy o usługach zaufania oraz identyfikacji elektronicznej, np. konieczność zgłoszenia do rejestru rozpoczęcia świadczenia usługi zaufania (art. 3 ww. ustawy).</w:t>
            </w:r>
          </w:p>
        </w:tc>
      </w:tr>
      <w:tr w:rsidR="003A6F7A" w:rsidRPr="008C7038" w14:paraId="3D6A50C8" w14:textId="77777777" w:rsidTr="008C7038">
        <w:trPr>
          <w:gridAfter w:val="2"/>
          <w:wAfter w:w="124" w:type="dxa"/>
          <w:trHeight w:val="142"/>
        </w:trPr>
        <w:tc>
          <w:tcPr>
            <w:tcW w:w="10832" w:type="dxa"/>
            <w:gridSpan w:val="27"/>
            <w:shd w:val="clear" w:color="auto" w:fill="99CCFF"/>
          </w:tcPr>
          <w:p w14:paraId="0D52D2B6" w14:textId="77777777" w:rsidR="003A6F7A" w:rsidRPr="008C7038" w:rsidRDefault="003A6F7A" w:rsidP="003A6F7A">
            <w:pPr>
              <w:numPr>
                <w:ilvl w:val="0"/>
                <w:numId w:val="1"/>
              </w:numPr>
              <w:spacing w:line="257" w:lineRule="auto"/>
              <w:rPr>
                <w:rFonts w:ascii="Times New Roman" w:hAnsi="Times New Roman" w:cs="Times New Roman"/>
                <w:b/>
                <w:sz w:val="24"/>
                <w:szCs w:val="24"/>
              </w:rPr>
            </w:pPr>
            <w:r w:rsidRPr="008C7038">
              <w:rPr>
                <w:rFonts w:ascii="Times New Roman" w:hAnsi="Times New Roman" w:cs="Times New Roman"/>
                <w:b/>
                <w:sz w:val="24"/>
                <w:szCs w:val="24"/>
              </w:rPr>
              <w:t xml:space="preserve">Wpływ na rynek pracy </w:t>
            </w:r>
          </w:p>
        </w:tc>
      </w:tr>
      <w:tr w:rsidR="003A6F7A" w:rsidRPr="008C7038" w14:paraId="5E5B3D46" w14:textId="77777777" w:rsidTr="008C7038">
        <w:trPr>
          <w:gridAfter w:val="2"/>
          <w:wAfter w:w="124" w:type="dxa"/>
          <w:trHeight w:val="142"/>
        </w:trPr>
        <w:tc>
          <w:tcPr>
            <w:tcW w:w="10832" w:type="dxa"/>
            <w:gridSpan w:val="27"/>
            <w:shd w:val="clear" w:color="auto" w:fill="auto"/>
          </w:tcPr>
          <w:p w14:paraId="125A71FD" w14:textId="77777777" w:rsid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Elektronizacja doręczeń będzie miała wpływ na rynek pracy w dziedzinie usług pocztowych, m.in. poprzez możliwość świadczenia usługi rejestrowanego doręczenia i usługi </w:t>
            </w:r>
            <w:r w:rsidR="00BB2B18" w:rsidRPr="008C7038">
              <w:rPr>
                <w:rFonts w:ascii="Times New Roman" w:hAnsi="Times New Roman" w:cs="Times New Roman"/>
                <w:sz w:val="24"/>
                <w:szCs w:val="24"/>
              </w:rPr>
              <w:t>publicznej</w:t>
            </w:r>
            <w:r w:rsidRPr="008C7038">
              <w:rPr>
                <w:rFonts w:ascii="Times New Roman" w:hAnsi="Times New Roman" w:cs="Times New Roman"/>
                <w:sz w:val="24"/>
                <w:szCs w:val="24"/>
              </w:rPr>
              <w:t xml:space="preserve"> przesyłki hybrydowej przez </w:t>
            </w:r>
            <w:r w:rsidR="00B77812" w:rsidRPr="008C7038">
              <w:rPr>
                <w:rFonts w:ascii="Times New Roman" w:hAnsi="Times New Roman" w:cs="Times New Roman"/>
                <w:sz w:val="24"/>
                <w:szCs w:val="24"/>
              </w:rPr>
              <w:t xml:space="preserve">operatora wyznaczonego </w:t>
            </w:r>
            <w:r w:rsidRPr="008C7038">
              <w:rPr>
                <w:rFonts w:ascii="Times New Roman" w:hAnsi="Times New Roman" w:cs="Times New Roman"/>
                <w:sz w:val="24"/>
                <w:szCs w:val="24"/>
              </w:rPr>
              <w:t>lub świadczenia usługi rejestrowanego doręczenia przez kwalifikowanych dostawców usług. Powyższe spowoduje konieczność przekwalifikowania pracowników operatorów pocztowych do realizacji wyżej wymienionych usług oraz zapewnieni</w:t>
            </w:r>
            <w:r w:rsidR="006C70CE" w:rsidRPr="008C7038">
              <w:rPr>
                <w:rFonts w:ascii="Times New Roman" w:hAnsi="Times New Roman" w:cs="Times New Roman"/>
                <w:sz w:val="24"/>
                <w:szCs w:val="24"/>
              </w:rPr>
              <w:t>a</w:t>
            </w:r>
            <w:r w:rsidRPr="008C7038">
              <w:rPr>
                <w:rFonts w:ascii="Times New Roman" w:hAnsi="Times New Roman" w:cs="Times New Roman"/>
                <w:sz w:val="24"/>
                <w:szCs w:val="24"/>
              </w:rPr>
              <w:t xml:space="preserve"> dla tych osób nowego zakresu zadań.</w:t>
            </w:r>
            <w:r w:rsidR="00B77812" w:rsidRPr="008C7038">
              <w:rPr>
                <w:rFonts w:ascii="Times New Roman" w:hAnsi="Times New Roman" w:cs="Times New Roman"/>
                <w:sz w:val="24"/>
                <w:szCs w:val="24"/>
              </w:rPr>
              <w:t xml:space="preserve"> </w:t>
            </w:r>
            <w:r w:rsidRPr="008C7038">
              <w:rPr>
                <w:rFonts w:ascii="Times New Roman" w:hAnsi="Times New Roman" w:cs="Times New Roman"/>
                <w:sz w:val="24"/>
                <w:szCs w:val="24"/>
              </w:rPr>
              <w:t>Dodatkowo</w:t>
            </w:r>
            <w:r w:rsidR="006C70CE" w:rsidRPr="008C7038">
              <w:rPr>
                <w:rFonts w:ascii="Times New Roman" w:hAnsi="Times New Roman" w:cs="Times New Roman"/>
                <w:sz w:val="24"/>
                <w:szCs w:val="24"/>
              </w:rPr>
              <w:t>,</w:t>
            </w:r>
            <w:r w:rsidRPr="008C7038">
              <w:rPr>
                <w:rFonts w:ascii="Times New Roman" w:hAnsi="Times New Roman" w:cs="Times New Roman"/>
                <w:sz w:val="24"/>
                <w:szCs w:val="24"/>
              </w:rPr>
              <w:t xml:space="preserve"> projektowane rozwiązanie będzie miało wpływ na służbę doręczeń operatorów pocztowych. Zmniejszenie liczby doręczanej tradycyjnie korespondencji będzie skutkowało koniecznością reorganizacji rejonów doręczeń, jak również stopniowym jej ograniczaniem. </w:t>
            </w:r>
          </w:p>
          <w:p w14:paraId="32A9D921" w14:textId="32D3B9AC" w:rsidR="00BB2B18" w:rsidRPr="008C7038" w:rsidRDefault="008A78C1"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Niemniej jednak w okresie pierwszych 5 lat funkcjonowania Poczta Polska </w:t>
            </w:r>
            <w:r w:rsidR="004C628A" w:rsidRPr="008C7038">
              <w:rPr>
                <w:rFonts w:ascii="Times New Roman" w:hAnsi="Times New Roman" w:cs="Times New Roman"/>
                <w:sz w:val="24"/>
                <w:szCs w:val="24"/>
              </w:rPr>
              <w:t xml:space="preserve">S.A. </w:t>
            </w:r>
            <w:r w:rsidRPr="008C7038">
              <w:rPr>
                <w:rFonts w:ascii="Times New Roman" w:hAnsi="Times New Roman" w:cs="Times New Roman"/>
                <w:sz w:val="24"/>
                <w:szCs w:val="24"/>
              </w:rPr>
              <w:t>nie przewiduje negatywnego wpływu wdrożenia rozwiązania na rynek pracy. Rosnący</w:t>
            </w:r>
            <w:r w:rsidR="00487895" w:rsidRPr="008C7038">
              <w:rPr>
                <w:rFonts w:ascii="Times New Roman" w:hAnsi="Times New Roman" w:cs="Times New Roman"/>
                <w:sz w:val="24"/>
                <w:szCs w:val="24"/>
              </w:rPr>
              <w:t xml:space="preserve"> w szybkim tempie</w:t>
            </w:r>
            <w:r w:rsidRPr="008C7038">
              <w:rPr>
                <w:rFonts w:ascii="Times New Roman" w:hAnsi="Times New Roman" w:cs="Times New Roman"/>
                <w:sz w:val="24"/>
                <w:szCs w:val="24"/>
              </w:rPr>
              <w:t xml:space="preserve"> rynek </w:t>
            </w:r>
            <w:r w:rsidR="00CE153E" w:rsidRPr="008C7038">
              <w:rPr>
                <w:rFonts w:ascii="Times New Roman" w:hAnsi="Times New Roman" w:cs="Times New Roman"/>
                <w:sz w:val="24"/>
                <w:szCs w:val="24"/>
              </w:rPr>
              <w:t xml:space="preserve">logistyki i </w:t>
            </w:r>
            <w:r w:rsidR="004C628A" w:rsidRPr="008C7038">
              <w:rPr>
                <w:rFonts w:ascii="Times New Roman" w:hAnsi="Times New Roman" w:cs="Times New Roman"/>
                <w:sz w:val="24"/>
                <w:szCs w:val="24"/>
              </w:rPr>
              <w:t>KEP</w:t>
            </w:r>
            <w:r w:rsidRPr="008C7038">
              <w:rPr>
                <w:rFonts w:ascii="Times New Roman" w:hAnsi="Times New Roman" w:cs="Times New Roman"/>
                <w:sz w:val="24"/>
                <w:szCs w:val="24"/>
              </w:rPr>
              <w:t xml:space="preserve"> pozwoli przekwalifikować pracowników służby doręczeń jako kurierów paczkowych. Taka sama sytuacja będzie miała miejsce </w:t>
            </w:r>
            <w:r w:rsidR="00487895" w:rsidRPr="008C7038">
              <w:rPr>
                <w:rFonts w:ascii="Times New Roman" w:hAnsi="Times New Roman" w:cs="Times New Roman"/>
                <w:sz w:val="24"/>
                <w:szCs w:val="24"/>
              </w:rPr>
              <w:t>w przypadku pracowników sprzedaży</w:t>
            </w:r>
            <w:r w:rsidR="004C628A"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jak i rozdzielni oraz szeroko rozumianej ekspedycji. </w:t>
            </w:r>
            <w:r w:rsidR="00BB2B18" w:rsidRPr="008C7038">
              <w:rPr>
                <w:rFonts w:ascii="Times New Roman" w:hAnsi="Times New Roman" w:cs="Times New Roman"/>
                <w:sz w:val="24"/>
                <w:szCs w:val="24"/>
              </w:rPr>
              <w:t>Należy podkreślić, że obecnie</w:t>
            </w:r>
            <w:r w:rsidR="004C628A"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Poczta Polska </w:t>
            </w:r>
            <w:r w:rsidR="004C628A" w:rsidRPr="008C7038">
              <w:rPr>
                <w:rFonts w:ascii="Times New Roman" w:hAnsi="Times New Roman" w:cs="Times New Roman"/>
                <w:sz w:val="24"/>
                <w:szCs w:val="24"/>
              </w:rPr>
              <w:t xml:space="preserve">S.A. </w:t>
            </w:r>
            <w:r w:rsidR="00487895" w:rsidRPr="008C7038">
              <w:rPr>
                <w:rFonts w:ascii="Times New Roman" w:hAnsi="Times New Roman" w:cs="Times New Roman"/>
                <w:sz w:val="24"/>
                <w:szCs w:val="24"/>
              </w:rPr>
              <w:t>boryka się z</w:t>
            </w:r>
            <w:r w:rsidR="006C70CE" w:rsidRPr="008C7038">
              <w:rPr>
                <w:rFonts w:ascii="Times New Roman" w:hAnsi="Times New Roman" w:cs="Times New Roman"/>
                <w:sz w:val="24"/>
                <w:szCs w:val="24"/>
              </w:rPr>
              <w:t> </w:t>
            </w:r>
            <w:r w:rsidR="00487895" w:rsidRPr="008C7038">
              <w:rPr>
                <w:rFonts w:ascii="Times New Roman" w:hAnsi="Times New Roman" w:cs="Times New Roman"/>
                <w:sz w:val="24"/>
                <w:szCs w:val="24"/>
              </w:rPr>
              <w:t xml:space="preserve">trudnościami kadrowymi – braki etatowe spowodowane </w:t>
            </w:r>
            <w:r w:rsidR="00BB2B18" w:rsidRPr="008C7038">
              <w:rPr>
                <w:rFonts w:ascii="Times New Roman" w:hAnsi="Times New Roman" w:cs="Times New Roman"/>
                <w:sz w:val="24"/>
                <w:szCs w:val="24"/>
              </w:rPr>
              <w:t xml:space="preserve">są </w:t>
            </w:r>
            <w:r w:rsidR="00487895" w:rsidRPr="008C7038">
              <w:rPr>
                <w:rFonts w:ascii="Times New Roman" w:hAnsi="Times New Roman" w:cs="Times New Roman"/>
                <w:sz w:val="24"/>
                <w:szCs w:val="24"/>
              </w:rPr>
              <w:t>małym zainteresowaniem ofertami pracy w</w:t>
            </w:r>
            <w:r w:rsidR="006C70CE" w:rsidRPr="008C7038">
              <w:rPr>
                <w:rFonts w:ascii="Times New Roman" w:hAnsi="Times New Roman" w:cs="Times New Roman"/>
                <w:sz w:val="24"/>
                <w:szCs w:val="24"/>
              </w:rPr>
              <w:t> </w:t>
            </w:r>
            <w:r w:rsidR="00487895" w:rsidRPr="008C7038">
              <w:rPr>
                <w:rFonts w:ascii="Times New Roman" w:hAnsi="Times New Roman" w:cs="Times New Roman"/>
                <w:sz w:val="24"/>
                <w:szCs w:val="24"/>
              </w:rPr>
              <w:t>Poczcie Polskiej</w:t>
            </w:r>
            <w:r w:rsidR="007A1097" w:rsidRPr="008C7038">
              <w:rPr>
                <w:rFonts w:ascii="Times New Roman" w:hAnsi="Times New Roman" w:cs="Times New Roman"/>
                <w:sz w:val="24"/>
                <w:szCs w:val="24"/>
              </w:rPr>
              <w:t xml:space="preserve"> S.A</w:t>
            </w:r>
            <w:r w:rsidR="00487895" w:rsidRPr="008C7038">
              <w:rPr>
                <w:rFonts w:ascii="Times New Roman" w:hAnsi="Times New Roman" w:cs="Times New Roman"/>
                <w:sz w:val="24"/>
                <w:szCs w:val="24"/>
              </w:rPr>
              <w:t xml:space="preserve">. </w:t>
            </w:r>
            <w:r w:rsidR="00BB2B18" w:rsidRPr="008C7038">
              <w:rPr>
                <w:rFonts w:ascii="Times New Roman" w:hAnsi="Times New Roman" w:cs="Times New Roman"/>
                <w:sz w:val="24"/>
                <w:szCs w:val="24"/>
              </w:rPr>
              <w:t>Ponadto należy uwzględnić wpływ</w:t>
            </w:r>
            <w:r w:rsidR="00487895" w:rsidRPr="008C7038">
              <w:rPr>
                <w:rFonts w:ascii="Times New Roman" w:hAnsi="Times New Roman" w:cs="Times New Roman"/>
                <w:sz w:val="24"/>
                <w:szCs w:val="24"/>
              </w:rPr>
              <w:t xml:space="preserve"> naturaln</w:t>
            </w:r>
            <w:r w:rsidR="00044A10" w:rsidRPr="008C7038">
              <w:rPr>
                <w:rFonts w:ascii="Times New Roman" w:hAnsi="Times New Roman" w:cs="Times New Roman"/>
                <w:sz w:val="24"/>
                <w:szCs w:val="24"/>
              </w:rPr>
              <w:t>e</w:t>
            </w:r>
            <w:r w:rsidR="00BB2B18" w:rsidRPr="008C7038">
              <w:rPr>
                <w:rFonts w:ascii="Times New Roman" w:hAnsi="Times New Roman" w:cs="Times New Roman"/>
                <w:sz w:val="24"/>
                <w:szCs w:val="24"/>
              </w:rPr>
              <w:t>go</w:t>
            </w:r>
            <w:r w:rsidR="00487895" w:rsidRPr="008C7038">
              <w:rPr>
                <w:rFonts w:ascii="Times New Roman" w:hAnsi="Times New Roman" w:cs="Times New Roman"/>
                <w:sz w:val="24"/>
                <w:szCs w:val="24"/>
              </w:rPr>
              <w:t xml:space="preserve"> zmniejszeni</w:t>
            </w:r>
            <w:r w:rsidR="00BB2B18" w:rsidRPr="008C7038">
              <w:rPr>
                <w:rFonts w:ascii="Times New Roman" w:hAnsi="Times New Roman" w:cs="Times New Roman"/>
                <w:sz w:val="24"/>
                <w:szCs w:val="24"/>
              </w:rPr>
              <w:t>a</w:t>
            </w:r>
            <w:r w:rsidR="00487895" w:rsidRPr="008C7038">
              <w:rPr>
                <w:rFonts w:ascii="Times New Roman" w:hAnsi="Times New Roman" w:cs="Times New Roman"/>
                <w:sz w:val="24"/>
                <w:szCs w:val="24"/>
              </w:rPr>
              <w:t xml:space="preserve"> zatrudnienia</w:t>
            </w:r>
            <w:r w:rsidR="00BB2B18"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wynikające</w:t>
            </w:r>
            <w:r w:rsidR="00BB2B18" w:rsidRPr="008C7038">
              <w:rPr>
                <w:rFonts w:ascii="Times New Roman" w:hAnsi="Times New Roman" w:cs="Times New Roman"/>
                <w:sz w:val="24"/>
                <w:szCs w:val="24"/>
              </w:rPr>
              <w:t>go</w:t>
            </w:r>
            <w:r w:rsidR="00487895" w:rsidRPr="008C7038">
              <w:rPr>
                <w:rFonts w:ascii="Times New Roman" w:hAnsi="Times New Roman" w:cs="Times New Roman"/>
                <w:sz w:val="24"/>
                <w:szCs w:val="24"/>
              </w:rPr>
              <w:t xml:space="preserve"> z osiąg</w:t>
            </w:r>
            <w:r w:rsidR="00BB2B18" w:rsidRPr="008C7038">
              <w:rPr>
                <w:rFonts w:ascii="Times New Roman" w:hAnsi="Times New Roman" w:cs="Times New Roman"/>
                <w:sz w:val="24"/>
                <w:szCs w:val="24"/>
              </w:rPr>
              <w:t>ania</w:t>
            </w:r>
            <w:r w:rsidR="00487895" w:rsidRPr="008C7038">
              <w:rPr>
                <w:rFonts w:ascii="Times New Roman" w:hAnsi="Times New Roman" w:cs="Times New Roman"/>
                <w:sz w:val="24"/>
                <w:szCs w:val="24"/>
              </w:rPr>
              <w:t xml:space="preserve"> przez </w:t>
            </w:r>
            <w:r w:rsidR="00BB2B18" w:rsidRPr="008C7038">
              <w:rPr>
                <w:rFonts w:ascii="Times New Roman" w:hAnsi="Times New Roman" w:cs="Times New Roman"/>
                <w:sz w:val="24"/>
                <w:szCs w:val="24"/>
              </w:rPr>
              <w:t xml:space="preserve">część </w:t>
            </w:r>
            <w:r w:rsidR="00487895" w:rsidRPr="008C7038">
              <w:rPr>
                <w:rFonts w:ascii="Times New Roman" w:hAnsi="Times New Roman" w:cs="Times New Roman"/>
                <w:sz w:val="24"/>
                <w:szCs w:val="24"/>
              </w:rPr>
              <w:t>pracowników wieku emerytalnego. Wobec powyższego</w:t>
            </w:r>
            <w:r w:rsidR="00AE1605" w:rsidRPr="008C7038">
              <w:rPr>
                <w:rFonts w:ascii="Times New Roman" w:hAnsi="Times New Roman" w:cs="Times New Roman"/>
                <w:sz w:val="24"/>
                <w:szCs w:val="24"/>
              </w:rPr>
              <w:t xml:space="preserve"> oraz z uwagi na uwarunkowanie wdrożenia e</w:t>
            </w:r>
            <w:r w:rsidR="006C70CE" w:rsidRPr="008C7038">
              <w:rPr>
                <w:rFonts w:ascii="Times New Roman" w:hAnsi="Times New Roman" w:cs="Times New Roman"/>
                <w:sz w:val="24"/>
                <w:szCs w:val="24"/>
              </w:rPr>
              <w:t>-</w:t>
            </w:r>
            <w:r w:rsidR="00AE1605" w:rsidRPr="008C7038">
              <w:rPr>
                <w:rFonts w:ascii="Times New Roman" w:hAnsi="Times New Roman" w:cs="Times New Roman"/>
                <w:sz w:val="24"/>
                <w:szCs w:val="24"/>
              </w:rPr>
              <w:t xml:space="preserve">Doręczenia w powiązaniu z </w:t>
            </w:r>
            <w:r w:rsidR="00BB2B18" w:rsidRPr="008C7038">
              <w:rPr>
                <w:rFonts w:ascii="Times New Roman" w:hAnsi="Times New Roman" w:cs="Times New Roman"/>
                <w:sz w:val="24"/>
                <w:szCs w:val="24"/>
              </w:rPr>
              <w:t>publiczną usługą</w:t>
            </w:r>
            <w:r w:rsidR="00AE1605" w:rsidRPr="008C7038">
              <w:rPr>
                <w:rFonts w:ascii="Times New Roman" w:hAnsi="Times New Roman" w:cs="Times New Roman"/>
                <w:sz w:val="24"/>
                <w:szCs w:val="24"/>
              </w:rPr>
              <w:t xml:space="preserve"> hybrydową i </w:t>
            </w:r>
            <w:r w:rsidR="006C70CE" w:rsidRPr="008C7038">
              <w:rPr>
                <w:rFonts w:ascii="Times New Roman" w:hAnsi="Times New Roman" w:cs="Times New Roman"/>
                <w:sz w:val="24"/>
                <w:szCs w:val="24"/>
              </w:rPr>
              <w:t>decyzją</w:t>
            </w:r>
            <w:r w:rsidR="00AE1605" w:rsidRPr="008C7038">
              <w:rPr>
                <w:rFonts w:ascii="Times New Roman" w:hAnsi="Times New Roman" w:cs="Times New Roman"/>
                <w:sz w:val="24"/>
                <w:szCs w:val="24"/>
              </w:rPr>
              <w:t xml:space="preserve"> KERM o współudziale Poczty Polskiej </w:t>
            </w:r>
            <w:r w:rsidR="004C628A" w:rsidRPr="008C7038">
              <w:rPr>
                <w:rFonts w:ascii="Times New Roman" w:hAnsi="Times New Roman" w:cs="Times New Roman"/>
                <w:sz w:val="24"/>
                <w:szCs w:val="24"/>
              </w:rPr>
              <w:t xml:space="preserve">S.A. </w:t>
            </w:r>
            <w:r w:rsidR="00AE1605" w:rsidRPr="008C7038">
              <w:rPr>
                <w:rFonts w:ascii="Times New Roman" w:hAnsi="Times New Roman" w:cs="Times New Roman"/>
                <w:sz w:val="24"/>
                <w:szCs w:val="24"/>
              </w:rPr>
              <w:t>w elektronizacji doręczeń</w:t>
            </w:r>
            <w:r w:rsidR="007A1097" w:rsidRPr="008C7038">
              <w:rPr>
                <w:rFonts w:ascii="Times New Roman" w:hAnsi="Times New Roman" w:cs="Times New Roman"/>
                <w:sz w:val="24"/>
                <w:szCs w:val="24"/>
              </w:rPr>
              <w:t>,</w:t>
            </w:r>
            <w:r w:rsidR="00487895" w:rsidRPr="008C7038">
              <w:rPr>
                <w:rFonts w:ascii="Times New Roman" w:hAnsi="Times New Roman" w:cs="Times New Roman"/>
                <w:sz w:val="24"/>
                <w:szCs w:val="24"/>
              </w:rPr>
              <w:t xml:space="preserve"> </w:t>
            </w:r>
            <w:r w:rsidR="00BB2B18" w:rsidRPr="008C7038">
              <w:rPr>
                <w:rFonts w:ascii="Times New Roman" w:hAnsi="Times New Roman" w:cs="Times New Roman"/>
                <w:sz w:val="24"/>
                <w:szCs w:val="24"/>
              </w:rPr>
              <w:t>w średnim horyzoncie czasowym</w:t>
            </w:r>
            <w:r w:rsidR="00487895" w:rsidRPr="008C7038">
              <w:rPr>
                <w:rFonts w:ascii="Times New Roman" w:hAnsi="Times New Roman" w:cs="Times New Roman"/>
                <w:sz w:val="24"/>
                <w:szCs w:val="24"/>
              </w:rPr>
              <w:t xml:space="preserve"> wdrożenie rozwiązania nie będzie miało wpływu na ry</w:t>
            </w:r>
            <w:r w:rsidR="00044A10" w:rsidRPr="008C7038">
              <w:rPr>
                <w:rFonts w:ascii="Times New Roman" w:hAnsi="Times New Roman" w:cs="Times New Roman"/>
                <w:sz w:val="24"/>
                <w:szCs w:val="24"/>
              </w:rPr>
              <w:t>n</w:t>
            </w:r>
            <w:r w:rsidR="00487895" w:rsidRPr="008C7038">
              <w:rPr>
                <w:rFonts w:ascii="Times New Roman" w:hAnsi="Times New Roman" w:cs="Times New Roman"/>
                <w:sz w:val="24"/>
                <w:szCs w:val="24"/>
              </w:rPr>
              <w:t>ek pracy w Polsce.</w:t>
            </w:r>
            <w:r w:rsidR="00AE1605" w:rsidRPr="008C7038">
              <w:rPr>
                <w:rFonts w:ascii="Times New Roman" w:hAnsi="Times New Roman" w:cs="Times New Roman"/>
                <w:sz w:val="24"/>
                <w:szCs w:val="24"/>
              </w:rPr>
              <w:t xml:space="preserve"> Jest to również uwarunkowane akceptacją proponowanego przez Pocztę Polską </w:t>
            </w:r>
            <w:r w:rsidR="004C628A" w:rsidRPr="008C7038">
              <w:rPr>
                <w:rFonts w:ascii="Times New Roman" w:hAnsi="Times New Roman" w:cs="Times New Roman"/>
                <w:sz w:val="24"/>
                <w:szCs w:val="24"/>
              </w:rPr>
              <w:t xml:space="preserve">S.A. </w:t>
            </w:r>
            <w:r w:rsidR="00AE1605" w:rsidRPr="008C7038">
              <w:rPr>
                <w:rFonts w:ascii="Times New Roman" w:hAnsi="Times New Roman" w:cs="Times New Roman"/>
                <w:sz w:val="24"/>
                <w:szCs w:val="24"/>
              </w:rPr>
              <w:t xml:space="preserve">modelu finansowego. </w:t>
            </w:r>
          </w:p>
          <w:p w14:paraId="38FBA3FA" w14:textId="77777777" w:rsidR="003A6F7A" w:rsidRPr="008C7038" w:rsidRDefault="00AE1605"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Brak uczestnictwa Poczty Polskiej </w:t>
            </w:r>
            <w:r w:rsidR="004C628A" w:rsidRPr="008C7038">
              <w:rPr>
                <w:rFonts w:ascii="Times New Roman" w:hAnsi="Times New Roman" w:cs="Times New Roman"/>
                <w:sz w:val="24"/>
                <w:szCs w:val="24"/>
              </w:rPr>
              <w:t xml:space="preserve">S.A. </w:t>
            </w:r>
            <w:r w:rsidRPr="008C7038">
              <w:rPr>
                <w:rFonts w:ascii="Times New Roman" w:hAnsi="Times New Roman" w:cs="Times New Roman"/>
                <w:sz w:val="24"/>
                <w:szCs w:val="24"/>
              </w:rPr>
              <w:t xml:space="preserve">w procesie elektronizacji doręczeń skutkowałby </w:t>
            </w:r>
            <w:r w:rsidR="00BB2B18" w:rsidRPr="008C7038">
              <w:rPr>
                <w:rFonts w:ascii="Times New Roman" w:hAnsi="Times New Roman" w:cs="Times New Roman"/>
                <w:sz w:val="24"/>
                <w:szCs w:val="24"/>
              </w:rPr>
              <w:t>natomiast silnym</w:t>
            </w:r>
            <w:r w:rsidRPr="008C7038">
              <w:rPr>
                <w:rFonts w:ascii="Times New Roman" w:hAnsi="Times New Roman" w:cs="Times New Roman"/>
                <w:sz w:val="24"/>
                <w:szCs w:val="24"/>
              </w:rPr>
              <w:t xml:space="preserve"> wpływem na rynek pracy w Polsce w związku z</w:t>
            </w:r>
            <w:r w:rsidR="00FA5690" w:rsidRPr="008C7038">
              <w:rPr>
                <w:rFonts w:ascii="Times New Roman" w:hAnsi="Times New Roman" w:cs="Times New Roman"/>
                <w:sz w:val="24"/>
                <w:szCs w:val="24"/>
              </w:rPr>
              <w:t xml:space="preserve">e spadkiem </w:t>
            </w:r>
            <w:r w:rsidR="00BB2B18" w:rsidRPr="008C7038">
              <w:rPr>
                <w:rFonts w:ascii="Times New Roman" w:hAnsi="Times New Roman" w:cs="Times New Roman"/>
                <w:sz w:val="24"/>
                <w:szCs w:val="24"/>
              </w:rPr>
              <w:t xml:space="preserve">wolumenu </w:t>
            </w:r>
            <w:r w:rsidR="00FA5690" w:rsidRPr="008C7038">
              <w:rPr>
                <w:rFonts w:ascii="Times New Roman" w:hAnsi="Times New Roman" w:cs="Times New Roman"/>
                <w:sz w:val="24"/>
                <w:szCs w:val="24"/>
              </w:rPr>
              <w:t>korespondencji tradycyjnej, a tym samym</w:t>
            </w:r>
            <w:r w:rsidRPr="008C7038">
              <w:rPr>
                <w:rFonts w:ascii="Times New Roman" w:hAnsi="Times New Roman" w:cs="Times New Roman"/>
                <w:sz w:val="24"/>
                <w:szCs w:val="24"/>
              </w:rPr>
              <w:t xml:space="preserve"> koniecznością zamknięcia </w:t>
            </w:r>
            <w:r w:rsidR="00FA5690" w:rsidRPr="008C7038">
              <w:rPr>
                <w:rFonts w:ascii="Times New Roman" w:hAnsi="Times New Roman" w:cs="Times New Roman"/>
                <w:sz w:val="24"/>
                <w:szCs w:val="24"/>
              </w:rPr>
              <w:t xml:space="preserve">znacznej liczby </w:t>
            </w:r>
            <w:r w:rsidRPr="008C7038">
              <w:rPr>
                <w:rFonts w:ascii="Times New Roman" w:hAnsi="Times New Roman" w:cs="Times New Roman"/>
                <w:sz w:val="24"/>
                <w:szCs w:val="24"/>
              </w:rPr>
              <w:t xml:space="preserve">placówek pocztowych pełniących rolę łącznika </w:t>
            </w:r>
            <w:r w:rsidR="00BB2B18" w:rsidRPr="008C7038">
              <w:rPr>
                <w:rFonts w:ascii="Times New Roman" w:hAnsi="Times New Roman" w:cs="Times New Roman"/>
                <w:sz w:val="24"/>
                <w:szCs w:val="24"/>
              </w:rPr>
              <w:t>p</w:t>
            </w:r>
            <w:r w:rsidRPr="008C7038">
              <w:rPr>
                <w:rFonts w:ascii="Times New Roman" w:hAnsi="Times New Roman" w:cs="Times New Roman"/>
                <w:sz w:val="24"/>
                <w:szCs w:val="24"/>
              </w:rPr>
              <w:t xml:space="preserve">aństwa z </w:t>
            </w:r>
            <w:r w:rsidR="00BB2B18" w:rsidRPr="008C7038">
              <w:rPr>
                <w:rFonts w:ascii="Times New Roman" w:hAnsi="Times New Roman" w:cs="Times New Roman"/>
                <w:sz w:val="24"/>
                <w:szCs w:val="24"/>
              </w:rPr>
              <w:t>o</w:t>
            </w:r>
            <w:r w:rsidRPr="008C7038">
              <w:rPr>
                <w:rFonts w:ascii="Times New Roman" w:hAnsi="Times New Roman" w:cs="Times New Roman"/>
                <w:sz w:val="24"/>
                <w:szCs w:val="24"/>
              </w:rPr>
              <w:t>bywatelem</w:t>
            </w:r>
            <w:r w:rsidR="00FA5690" w:rsidRPr="008C7038">
              <w:rPr>
                <w:rFonts w:ascii="Times New Roman" w:hAnsi="Times New Roman" w:cs="Times New Roman"/>
                <w:sz w:val="24"/>
                <w:szCs w:val="24"/>
              </w:rPr>
              <w:t>.</w:t>
            </w:r>
          </w:p>
          <w:p w14:paraId="28CE7142" w14:textId="77777777" w:rsidR="003A6F7A" w:rsidRP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Zgodnie z założeniami Strategii na rzecz Odpowiedzialnego Rozwoju projekt stworzy nowe szanse w procesach gospodarczych poprzez zastosowanie mechanizmów efektywnej współpracy sektora publicznego z niepublicznym, jak również przyczyni się do poprawy konkurencyjności przedsiębiorstw. </w:t>
            </w:r>
          </w:p>
          <w:p w14:paraId="12DBB6BD" w14:textId="77777777" w:rsidR="003A6F7A" w:rsidRP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Wprowadzenie standardu usługi rejestrowanego doręczenia elektronicznego w Polsce zachęci </w:t>
            </w:r>
            <w:r w:rsidR="00694E00" w:rsidRPr="008C7038">
              <w:rPr>
                <w:rFonts w:ascii="Times New Roman" w:hAnsi="Times New Roman" w:cs="Times New Roman"/>
                <w:sz w:val="24"/>
                <w:szCs w:val="24"/>
              </w:rPr>
              <w:t>podmioty komercyjne – kwalifikowanych dostawców usług zaufania –</w:t>
            </w:r>
            <w:r w:rsidRPr="008C7038">
              <w:rPr>
                <w:rFonts w:ascii="Times New Roman" w:hAnsi="Times New Roman" w:cs="Times New Roman"/>
                <w:sz w:val="24"/>
                <w:szCs w:val="24"/>
              </w:rPr>
              <w:t xml:space="preserve"> do oferowania usługi rejestrowanego doręczenia elektronicznego, która będzie współdziałała z </w:t>
            </w:r>
            <w:r w:rsidR="00694E00" w:rsidRPr="008C7038">
              <w:rPr>
                <w:rFonts w:ascii="Times New Roman" w:hAnsi="Times New Roman" w:cs="Times New Roman"/>
                <w:sz w:val="24"/>
                <w:szCs w:val="24"/>
              </w:rPr>
              <w:t xml:space="preserve">publiczną </w:t>
            </w:r>
            <w:r w:rsidRPr="008C7038">
              <w:rPr>
                <w:rFonts w:ascii="Times New Roman" w:hAnsi="Times New Roman" w:cs="Times New Roman"/>
                <w:sz w:val="24"/>
                <w:szCs w:val="24"/>
              </w:rPr>
              <w:t xml:space="preserve">usługą rejestrowanego doręczenia elektronicznego świadczoną przez </w:t>
            </w:r>
            <w:r w:rsidR="00B77812" w:rsidRPr="008C7038">
              <w:rPr>
                <w:rFonts w:ascii="Times New Roman" w:hAnsi="Times New Roman" w:cs="Times New Roman"/>
                <w:sz w:val="24"/>
                <w:szCs w:val="24"/>
              </w:rPr>
              <w:t>operatora wyznaczonego</w:t>
            </w:r>
            <w:r w:rsidR="00B7368D" w:rsidRPr="008C7038">
              <w:rPr>
                <w:rFonts w:ascii="Times New Roman" w:hAnsi="Times New Roman" w:cs="Times New Roman"/>
                <w:sz w:val="24"/>
                <w:szCs w:val="24"/>
              </w:rPr>
              <w:t xml:space="preserve"> i co za ty</w:t>
            </w:r>
            <w:r w:rsidR="00271F42" w:rsidRPr="008C7038">
              <w:rPr>
                <w:rFonts w:ascii="Times New Roman" w:hAnsi="Times New Roman" w:cs="Times New Roman"/>
                <w:sz w:val="24"/>
                <w:szCs w:val="24"/>
              </w:rPr>
              <w:t>m</w:t>
            </w:r>
            <w:r w:rsidR="00B7368D" w:rsidRPr="008C7038">
              <w:rPr>
                <w:rFonts w:ascii="Times New Roman" w:hAnsi="Times New Roman" w:cs="Times New Roman"/>
                <w:sz w:val="24"/>
                <w:szCs w:val="24"/>
              </w:rPr>
              <w:t xml:space="preserve"> idzie będzie mogła zapewniać doręczanie </w:t>
            </w:r>
            <w:r w:rsidR="00B7368D" w:rsidRPr="008C7038">
              <w:rPr>
                <w:rFonts w:ascii="Times New Roman" w:hAnsi="Times New Roman" w:cs="Times New Roman"/>
                <w:sz w:val="24"/>
                <w:szCs w:val="24"/>
              </w:rPr>
              <w:lastRenderedPageBreak/>
              <w:t>elektroniczne do szerokiego spektrum odbiorców</w:t>
            </w:r>
            <w:r w:rsidRPr="008C7038">
              <w:rPr>
                <w:rFonts w:ascii="Times New Roman" w:hAnsi="Times New Roman" w:cs="Times New Roman"/>
                <w:sz w:val="24"/>
                <w:szCs w:val="24"/>
              </w:rPr>
              <w:t xml:space="preserve">. W związku z powyższym spodziewane jest stworzenie nowych miejsc pracy w perspektywie wdrożenia, rozwoju rozwiązania, jak i zapewnienia jego dodatkowych funkcjonalności. </w:t>
            </w:r>
          </w:p>
          <w:p w14:paraId="11FE2843" w14:textId="77777777" w:rsidR="003A6F7A" w:rsidRPr="008C7038" w:rsidRDefault="003A6F7A" w:rsidP="00277F6C">
            <w:pPr>
              <w:spacing w:after="120"/>
              <w:jc w:val="both"/>
              <w:rPr>
                <w:rFonts w:ascii="Times New Roman" w:hAnsi="Times New Roman" w:cs="Times New Roman"/>
                <w:sz w:val="24"/>
                <w:szCs w:val="24"/>
              </w:rPr>
            </w:pPr>
            <w:r w:rsidRPr="008C7038">
              <w:rPr>
                <w:rFonts w:ascii="Times New Roman" w:hAnsi="Times New Roman" w:cs="Times New Roman"/>
                <w:sz w:val="24"/>
                <w:szCs w:val="24"/>
              </w:rPr>
              <w:t xml:space="preserve">Elektronizacja doręczeń będzie miała wymierny wpływ również na inne branże obecnie rozwijane w korelacji z usługami pocztowymi, takie jak druk wyrobów papierniczych, masowe drukarnie korespondencji, hurtownicy usług pocztowych specjalizujący się w usługach wydruku, konfekcji i czynności realizowanych w imieniu nadawcy. </w:t>
            </w:r>
          </w:p>
        </w:tc>
      </w:tr>
      <w:tr w:rsidR="003A6F7A" w:rsidRPr="008C7038" w14:paraId="5E9D836F" w14:textId="77777777" w:rsidTr="008C7038">
        <w:trPr>
          <w:gridAfter w:val="2"/>
          <w:wAfter w:w="124" w:type="dxa"/>
          <w:trHeight w:val="142"/>
        </w:trPr>
        <w:tc>
          <w:tcPr>
            <w:tcW w:w="10832" w:type="dxa"/>
            <w:gridSpan w:val="27"/>
            <w:shd w:val="clear" w:color="auto" w:fill="99CCFF"/>
          </w:tcPr>
          <w:p w14:paraId="6D4A8357" w14:textId="77777777" w:rsidR="003A6F7A" w:rsidRPr="008C7038" w:rsidRDefault="003A6F7A" w:rsidP="003A6F7A">
            <w:pPr>
              <w:numPr>
                <w:ilvl w:val="0"/>
                <w:numId w:val="1"/>
              </w:numPr>
              <w:spacing w:line="257" w:lineRule="auto"/>
              <w:rPr>
                <w:rFonts w:ascii="Times New Roman" w:hAnsi="Times New Roman" w:cs="Times New Roman"/>
                <w:b/>
                <w:sz w:val="24"/>
                <w:szCs w:val="24"/>
              </w:rPr>
            </w:pPr>
            <w:r w:rsidRPr="008C7038">
              <w:rPr>
                <w:rFonts w:ascii="Times New Roman" w:hAnsi="Times New Roman" w:cs="Times New Roman"/>
                <w:b/>
                <w:sz w:val="24"/>
                <w:szCs w:val="24"/>
              </w:rPr>
              <w:lastRenderedPageBreak/>
              <w:t>Wpływ na pozostałe obszary</w:t>
            </w:r>
          </w:p>
        </w:tc>
      </w:tr>
      <w:tr w:rsidR="003A6F7A" w:rsidRPr="008C7038" w14:paraId="64A25AC8" w14:textId="77777777" w:rsidTr="008C7038">
        <w:trPr>
          <w:gridAfter w:val="2"/>
          <w:wAfter w:w="124" w:type="dxa"/>
          <w:trHeight w:val="1031"/>
        </w:trPr>
        <w:tc>
          <w:tcPr>
            <w:tcW w:w="3498" w:type="dxa"/>
            <w:gridSpan w:val="5"/>
            <w:shd w:val="clear" w:color="auto" w:fill="FFFFFF"/>
          </w:tcPr>
          <w:p w14:paraId="5BC829A4"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w:t>
            </w:r>
            <w:r w:rsidRPr="008C7038">
              <w:rPr>
                <w:rFonts w:ascii="Times New Roman" w:hAnsi="Times New Roman" w:cs="Times New Roman"/>
                <w:spacing w:val="-2"/>
                <w:sz w:val="24"/>
                <w:szCs w:val="24"/>
              </w:rPr>
              <w:t>środowisko naturalne</w:t>
            </w:r>
          </w:p>
          <w:p w14:paraId="28F25D22"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sytuacja i rozwój regionalny</w:t>
            </w:r>
          </w:p>
          <w:p w14:paraId="74EBB20C" w14:textId="77777777" w:rsidR="003A6F7A" w:rsidRPr="008C7038" w:rsidRDefault="00326D6C">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z w:val="24"/>
                <w:szCs w:val="24"/>
              </w:rPr>
              <w:t>☒</w:t>
            </w:r>
            <w:r w:rsidR="003A6F7A" w:rsidRPr="008C7038">
              <w:rPr>
                <w:rFonts w:ascii="Times New Roman" w:hAnsi="Times New Roman" w:cs="Times New Roman"/>
                <w:spacing w:val="-2"/>
                <w:sz w:val="24"/>
                <w:szCs w:val="24"/>
              </w:rPr>
              <w:t xml:space="preserve"> inne:</w:t>
            </w:r>
            <w:r w:rsidRPr="008C7038">
              <w:rPr>
                <w:rFonts w:ascii="Times New Roman" w:hAnsi="Times New Roman" w:cs="Times New Roman"/>
                <w:sz w:val="24"/>
                <w:szCs w:val="24"/>
              </w:rPr>
              <w:t xml:space="preserve"> bezpieczeństwo przesyłanej korespondencji</w:t>
            </w:r>
            <w:r w:rsidR="00550C86" w:rsidRPr="008C7038">
              <w:rPr>
                <w:rFonts w:ascii="Times New Roman" w:hAnsi="Times New Roman" w:cs="Times New Roman"/>
                <w:sz w:val="24"/>
                <w:szCs w:val="24"/>
              </w:rPr>
              <w:t>, rynek papierniczy</w:t>
            </w:r>
          </w:p>
        </w:tc>
        <w:tc>
          <w:tcPr>
            <w:tcW w:w="3651" w:type="dxa"/>
            <w:gridSpan w:val="14"/>
            <w:shd w:val="clear" w:color="auto" w:fill="FFFFFF"/>
          </w:tcPr>
          <w:p w14:paraId="111A6841"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demografia</w:t>
            </w:r>
          </w:p>
          <w:p w14:paraId="3D1E3CB0"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z w:val="24"/>
                <w:szCs w:val="24"/>
              </w:rPr>
              <w:t>☐</w:t>
            </w:r>
            <w:r w:rsidRPr="008C7038">
              <w:rPr>
                <w:rFonts w:ascii="Times New Roman" w:hAnsi="Times New Roman" w:cs="Times New Roman"/>
                <w:sz w:val="24"/>
                <w:szCs w:val="24"/>
              </w:rPr>
              <w:t xml:space="preserve"> mienie państwowe</w:t>
            </w:r>
          </w:p>
        </w:tc>
        <w:tc>
          <w:tcPr>
            <w:tcW w:w="3683" w:type="dxa"/>
            <w:gridSpan w:val="8"/>
            <w:shd w:val="clear" w:color="auto" w:fill="FFFFFF"/>
          </w:tcPr>
          <w:p w14:paraId="4C0AF2D2" w14:textId="77777777" w:rsidR="003A6F7A" w:rsidRPr="008C7038" w:rsidRDefault="003A6F7A" w:rsidP="003A6F7A">
            <w:pPr>
              <w:spacing w:line="257" w:lineRule="auto"/>
              <w:rPr>
                <w:rFonts w:ascii="Times New Roman" w:hAnsi="Times New Roman" w:cs="Times New Roman"/>
                <w:spacing w:val="-2"/>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informatyzacja</w:t>
            </w:r>
          </w:p>
          <w:p w14:paraId="5B1235AF" w14:textId="77777777" w:rsidR="003A6F7A" w:rsidRPr="008C7038" w:rsidRDefault="003A6F7A" w:rsidP="003A6F7A">
            <w:pPr>
              <w:spacing w:line="257" w:lineRule="auto"/>
              <w:rPr>
                <w:rFonts w:ascii="Times New Roman" w:hAnsi="Times New Roman" w:cs="Times New Roman"/>
                <w:sz w:val="24"/>
                <w:szCs w:val="24"/>
              </w:rPr>
            </w:pPr>
            <w:r w:rsidRPr="008C7038">
              <w:rPr>
                <w:rFonts w:ascii="Segoe UI Symbol" w:eastAsia="MS Gothic" w:hAnsi="Segoe UI Symbol" w:cs="Segoe UI Symbol"/>
                <w:spacing w:val="-2"/>
                <w:sz w:val="24"/>
                <w:szCs w:val="24"/>
              </w:rPr>
              <w:t>☐</w:t>
            </w:r>
            <w:r w:rsidRPr="008C7038">
              <w:rPr>
                <w:rFonts w:ascii="Times New Roman" w:hAnsi="Times New Roman" w:cs="Times New Roman"/>
                <w:spacing w:val="-2"/>
                <w:sz w:val="24"/>
                <w:szCs w:val="24"/>
              </w:rPr>
              <w:t xml:space="preserve"> zdrowie</w:t>
            </w:r>
          </w:p>
        </w:tc>
      </w:tr>
      <w:tr w:rsidR="003A6F7A" w:rsidRPr="008C7038" w14:paraId="466F8AD0" w14:textId="77777777" w:rsidTr="008C7038">
        <w:trPr>
          <w:gridAfter w:val="2"/>
          <w:wAfter w:w="124" w:type="dxa"/>
          <w:trHeight w:val="712"/>
        </w:trPr>
        <w:tc>
          <w:tcPr>
            <w:tcW w:w="2127" w:type="dxa"/>
            <w:gridSpan w:val="3"/>
            <w:shd w:val="clear" w:color="auto" w:fill="FFFFFF"/>
            <w:vAlign w:val="center"/>
          </w:tcPr>
          <w:p w14:paraId="43818D30" w14:textId="77777777" w:rsidR="003A6F7A" w:rsidRPr="008C7038" w:rsidRDefault="003A6F7A" w:rsidP="003A6F7A">
            <w:pPr>
              <w:spacing w:line="257" w:lineRule="auto"/>
              <w:rPr>
                <w:rFonts w:ascii="Times New Roman" w:hAnsi="Times New Roman" w:cs="Times New Roman"/>
                <w:sz w:val="24"/>
                <w:szCs w:val="24"/>
              </w:rPr>
            </w:pPr>
            <w:r w:rsidRPr="008C7038">
              <w:rPr>
                <w:rFonts w:ascii="Times New Roman" w:hAnsi="Times New Roman" w:cs="Times New Roman"/>
                <w:sz w:val="24"/>
                <w:szCs w:val="24"/>
              </w:rPr>
              <w:t>Omówienie wpływu</w:t>
            </w:r>
          </w:p>
        </w:tc>
        <w:tc>
          <w:tcPr>
            <w:tcW w:w="8705" w:type="dxa"/>
            <w:gridSpan w:val="24"/>
            <w:shd w:val="clear" w:color="auto" w:fill="FFFFFF"/>
            <w:vAlign w:val="center"/>
          </w:tcPr>
          <w:p w14:paraId="5C123ECE" w14:textId="77777777" w:rsidR="00F765A9" w:rsidRPr="008C7038" w:rsidRDefault="003A6F7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 xml:space="preserve">Proponowane </w:t>
            </w:r>
            <w:r w:rsidRPr="008C7038">
              <w:rPr>
                <w:rFonts w:ascii="Times New Roman" w:hAnsi="Times New Roman" w:cs="Times New Roman"/>
                <w:spacing w:val="-2"/>
                <w:sz w:val="24"/>
                <w:szCs w:val="24"/>
              </w:rPr>
              <w:t>rozwiązanie</w:t>
            </w:r>
            <w:r w:rsidRPr="008C7038">
              <w:rPr>
                <w:rFonts w:ascii="Times New Roman" w:hAnsi="Times New Roman" w:cs="Times New Roman"/>
                <w:sz w:val="24"/>
                <w:szCs w:val="24"/>
              </w:rPr>
              <w:t xml:space="preserve"> przyczyni się do osiągnięcia przez pozostałe e-usługi wyższego poziomu dojrzałości oraz osiągnięcia korzyści z całościowego podejścia do informatyzacji państwa w obszarze „e-Państwo”.</w:t>
            </w:r>
            <w:r w:rsidR="00F765A9" w:rsidRPr="008C7038">
              <w:rPr>
                <w:rFonts w:ascii="Times New Roman" w:hAnsi="Times New Roman" w:cs="Times New Roman"/>
                <w:sz w:val="24"/>
                <w:szCs w:val="24"/>
              </w:rPr>
              <w:t xml:space="preserve"> </w:t>
            </w:r>
          </w:p>
          <w:p w14:paraId="430052E8" w14:textId="77777777" w:rsidR="00F765A9" w:rsidRPr="008C7038" w:rsidRDefault="00F765A9"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Bezpieczeństwo i niezaprzeczalność realizowanej komunikacji w projekcie wynika z</w:t>
            </w:r>
            <w:r w:rsidR="00B77812" w:rsidRPr="008C7038">
              <w:rPr>
                <w:rFonts w:ascii="Times New Roman" w:hAnsi="Times New Roman" w:cs="Times New Roman"/>
                <w:sz w:val="24"/>
                <w:szCs w:val="24"/>
              </w:rPr>
              <w:t> </w:t>
            </w:r>
            <w:r w:rsidRPr="008C7038">
              <w:rPr>
                <w:rFonts w:ascii="Times New Roman" w:hAnsi="Times New Roman" w:cs="Times New Roman"/>
                <w:sz w:val="24"/>
                <w:szCs w:val="24"/>
              </w:rPr>
              <w:t>rozporządzenia Parlamentu Europejskiego i Rady (UE) nr 910/2014 w zakresie usług zaufania, a w szczególności rejestrowanego doręczenia elektronicznego. Oznacza to, że wysłanie i otrzymanie danych będzie zabezpieczone zaawansowaną pieczęcią elektroniczną dostawcy usług zaufania w taki sposób, by wykluczyć możliwość niewykrywalnej zmiany danych</w:t>
            </w:r>
            <w:r w:rsidR="00694E00" w:rsidRPr="008C7038">
              <w:rPr>
                <w:rFonts w:ascii="Times New Roman" w:hAnsi="Times New Roman" w:cs="Times New Roman"/>
                <w:sz w:val="24"/>
                <w:szCs w:val="24"/>
              </w:rPr>
              <w:t xml:space="preserve"> -</w:t>
            </w:r>
            <w:r w:rsidRPr="008C7038">
              <w:rPr>
                <w:rFonts w:ascii="Times New Roman" w:hAnsi="Times New Roman" w:cs="Times New Roman"/>
                <w:sz w:val="24"/>
                <w:szCs w:val="24"/>
              </w:rPr>
              <w:t xml:space="preserve"> każda zmiana danych niezbędna do celów wysłania lub otrzymania danych będzie wyraźnie wskazana nadawcy i adresatowi danych, data i</w:t>
            </w:r>
            <w:r w:rsidR="00B77812" w:rsidRPr="008C7038">
              <w:rPr>
                <w:rFonts w:ascii="Times New Roman" w:hAnsi="Times New Roman" w:cs="Times New Roman"/>
                <w:sz w:val="24"/>
                <w:szCs w:val="24"/>
              </w:rPr>
              <w:t> </w:t>
            </w:r>
            <w:r w:rsidRPr="008C7038">
              <w:rPr>
                <w:rFonts w:ascii="Times New Roman" w:hAnsi="Times New Roman" w:cs="Times New Roman"/>
                <w:sz w:val="24"/>
                <w:szCs w:val="24"/>
              </w:rPr>
              <w:t xml:space="preserve">czas wysłania, otrzymania i wszelkiej zmiany danych będą wskazane za pomocą kwalifikowanego elektronicznego znacznika czasu. Wdrożone rozwiązanie będzie zgodne z normami Europejskiego Instytutu Norm Telekomunikacyjnych z zakresu realizacji usługi rejestrowanego doręczenia elektronicznego (ETSI EN 319 522) oraz zapewnienia bezpieczeństwa korespondencji (ETSI EN 319 521). Cała wymiana wiadomości będzie odbywała się z wykorzystaniem szyfrowanych połączeń. </w:t>
            </w:r>
          </w:p>
          <w:p w14:paraId="7E796199" w14:textId="77777777" w:rsidR="00326D6C" w:rsidRPr="008C7038" w:rsidRDefault="00F765A9"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z w:val="24"/>
                <w:szCs w:val="24"/>
              </w:rPr>
              <w:t>Ponadto na poziomie krajowym planuje się wskazanie wymogu wykorzystani</w:t>
            </w:r>
            <w:r w:rsidR="00694E00" w:rsidRPr="008C7038">
              <w:rPr>
                <w:rFonts w:ascii="Times New Roman" w:hAnsi="Times New Roman" w:cs="Times New Roman"/>
                <w:sz w:val="24"/>
                <w:szCs w:val="24"/>
              </w:rPr>
              <w:t>a</w:t>
            </w:r>
            <w:r w:rsidRPr="008C7038">
              <w:rPr>
                <w:rFonts w:ascii="Times New Roman" w:hAnsi="Times New Roman" w:cs="Times New Roman"/>
                <w:sz w:val="24"/>
                <w:szCs w:val="24"/>
              </w:rPr>
              <w:t xml:space="preserve"> środka identyfikacji elektronicznej na poziomie przynajmniej średnim w celu uzyskani</w:t>
            </w:r>
            <w:r w:rsidR="00694E00" w:rsidRPr="008C7038">
              <w:rPr>
                <w:rFonts w:ascii="Times New Roman" w:hAnsi="Times New Roman" w:cs="Times New Roman"/>
                <w:sz w:val="24"/>
                <w:szCs w:val="24"/>
              </w:rPr>
              <w:t>a</w:t>
            </w:r>
            <w:r w:rsidRPr="008C7038">
              <w:rPr>
                <w:rFonts w:ascii="Times New Roman" w:hAnsi="Times New Roman" w:cs="Times New Roman"/>
                <w:sz w:val="24"/>
                <w:szCs w:val="24"/>
              </w:rPr>
              <w:t xml:space="preserve"> dostępu do usługi e-</w:t>
            </w:r>
            <w:r w:rsidR="00B77812" w:rsidRPr="008C7038">
              <w:rPr>
                <w:rFonts w:ascii="Times New Roman" w:hAnsi="Times New Roman" w:cs="Times New Roman"/>
                <w:sz w:val="24"/>
                <w:szCs w:val="24"/>
              </w:rPr>
              <w:t>D</w:t>
            </w:r>
            <w:r w:rsidRPr="008C7038">
              <w:rPr>
                <w:rFonts w:ascii="Times New Roman" w:hAnsi="Times New Roman" w:cs="Times New Roman"/>
                <w:sz w:val="24"/>
                <w:szCs w:val="24"/>
              </w:rPr>
              <w:t>oręczenia.</w:t>
            </w:r>
            <w:r w:rsidR="00035ECF" w:rsidRPr="008C7038">
              <w:rPr>
                <w:rFonts w:ascii="Times New Roman" w:hAnsi="Times New Roman" w:cs="Times New Roman"/>
                <w:sz w:val="24"/>
                <w:szCs w:val="24"/>
              </w:rPr>
              <w:t xml:space="preserve"> </w:t>
            </w:r>
          </w:p>
          <w:p w14:paraId="11A22A30"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Zgodnie z ustawą – Prawo pocztowe operator wyznaczony zobowiązany jest do zapewnienia tajemnicy pocztowej i w tym zakresie podlega ocenie Urzędu Komunikacji Elektronicznej. W związku z tym zapewnienie bezpieczeństwa i tajemnicy korespondencji doręczanej w ramach usługi przesyłki hybrydowej będzie przedmiotem bieżącego nadzoru oraz rozszerzonej oceny w ramach konkursu na operatora wyznaczonego od 2025 r.</w:t>
            </w:r>
          </w:p>
          <w:p w14:paraId="153933CE"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Poczta Polska zgodnie z wymaganiami określonymi w ustawie Prawo pocztowe: </w:t>
            </w:r>
          </w:p>
          <w:p w14:paraId="4E851A6F"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1)</w:t>
            </w:r>
            <w:r w:rsidRPr="008C7038">
              <w:rPr>
                <w:rFonts w:ascii="Times New Roman" w:hAnsi="Times New Roman" w:cs="Times New Roman"/>
                <w:spacing w:val="-2"/>
                <w:sz w:val="24"/>
                <w:szCs w:val="24"/>
              </w:rPr>
              <w:tab/>
              <w:t>zapewnia warunki do przestrzegania tajemnicy pocztowej zgodnie z art. 41 ustawy</w:t>
            </w:r>
            <w:r w:rsidR="00B77812" w:rsidRPr="008C7038">
              <w:rPr>
                <w:rFonts w:ascii="Times New Roman" w:hAnsi="Times New Roman" w:cs="Times New Roman"/>
                <w:spacing w:val="-2"/>
                <w:sz w:val="24"/>
                <w:szCs w:val="24"/>
              </w:rPr>
              <w:t xml:space="preserve"> - </w:t>
            </w:r>
            <w:r w:rsidRPr="008C7038">
              <w:rPr>
                <w:rFonts w:ascii="Times New Roman" w:hAnsi="Times New Roman" w:cs="Times New Roman"/>
                <w:spacing w:val="-2"/>
                <w:sz w:val="24"/>
                <w:szCs w:val="24"/>
              </w:rPr>
              <w:t>Prawo pocztowe. Tajemnicą objęte są m.in. informacje przekazywane w</w:t>
            </w:r>
            <w:r w:rsidR="00B77812" w:rsidRPr="008C7038">
              <w:rPr>
                <w:rFonts w:ascii="Times New Roman" w:hAnsi="Times New Roman" w:cs="Times New Roman"/>
                <w:spacing w:val="-2"/>
                <w:sz w:val="24"/>
                <w:szCs w:val="24"/>
              </w:rPr>
              <w:t> </w:t>
            </w:r>
            <w:r w:rsidRPr="008C7038">
              <w:rPr>
                <w:rFonts w:ascii="Times New Roman" w:hAnsi="Times New Roman" w:cs="Times New Roman"/>
                <w:spacing w:val="-2"/>
                <w:sz w:val="24"/>
                <w:szCs w:val="24"/>
              </w:rPr>
              <w:t>przesyłkach, dane dotyczące podmiotów korzystających z usług pocztowych oraz dane dotyczące faktu i okoliczności świadczenia usług pocztowych lub korzystania z tych usług</w:t>
            </w:r>
            <w:r w:rsidR="00694E00" w:rsidRPr="008C7038">
              <w:rPr>
                <w:rFonts w:ascii="Times New Roman" w:hAnsi="Times New Roman" w:cs="Times New Roman"/>
                <w:spacing w:val="-2"/>
                <w:sz w:val="24"/>
                <w:szCs w:val="24"/>
              </w:rPr>
              <w:t>,</w:t>
            </w:r>
            <w:r w:rsidRPr="008C7038">
              <w:rPr>
                <w:rFonts w:ascii="Times New Roman" w:hAnsi="Times New Roman" w:cs="Times New Roman"/>
                <w:spacing w:val="-2"/>
                <w:sz w:val="24"/>
                <w:szCs w:val="24"/>
              </w:rPr>
              <w:t xml:space="preserve"> </w:t>
            </w:r>
          </w:p>
          <w:p w14:paraId="635401CB"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2)</w:t>
            </w:r>
            <w:r w:rsidRPr="008C7038">
              <w:rPr>
                <w:rFonts w:ascii="Times New Roman" w:hAnsi="Times New Roman" w:cs="Times New Roman"/>
                <w:spacing w:val="-2"/>
                <w:sz w:val="24"/>
                <w:szCs w:val="24"/>
              </w:rPr>
              <w:tab/>
              <w:t>zapewnia warunki techniczne i organizacyjne świadczenia usług pocztowych  niezbędne dla zachowania bezpieczeństwa obrotu pocztowego</w:t>
            </w:r>
            <w:r w:rsidR="00694E00" w:rsidRPr="008C7038">
              <w:rPr>
                <w:rFonts w:ascii="Times New Roman" w:hAnsi="Times New Roman" w:cs="Times New Roman"/>
                <w:spacing w:val="-2"/>
                <w:sz w:val="24"/>
                <w:szCs w:val="24"/>
              </w:rPr>
              <w:t>,</w:t>
            </w:r>
          </w:p>
          <w:p w14:paraId="28D5B10C"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3)</w:t>
            </w:r>
            <w:r w:rsidRPr="008C7038">
              <w:rPr>
                <w:rFonts w:ascii="Times New Roman" w:hAnsi="Times New Roman" w:cs="Times New Roman"/>
                <w:spacing w:val="-2"/>
                <w:sz w:val="24"/>
                <w:szCs w:val="24"/>
              </w:rPr>
              <w:tab/>
              <w:t>posiada stosowane i wymagane regulaminy świadczenia usług pocztowych</w:t>
            </w:r>
            <w:r w:rsidR="00694E00" w:rsidRPr="008C7038">
              <w:rPr>
                <w:rFonts w:ascii="Times New Roman" w:hAnsi="Times New Roman" w:cs="Times New Roman"/>
                <w:spacing w:val="-2"/>
                <w:sz w:val="24"/>
                <w:szCs w:val="24"/>
              </w:rPr>
              <w:t>,</w:t>
            </w:r>
          </w:p>
          <w:p w14:paraId="28F5ED35" w14:textId="77777777" w:rsidR="002E7A3F"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4)</w:t>
            </w:r>
            <w:r w:rsidRPr="008C7038">
              <w:rPr>
                <w:rFonts w:ascii="Times New Roman" w:hAnsi="Times New Roman" w:cs="Times New Roman"/>
                <w:spacing w:val="-2"/>
                <w:sz w:val="24"/>
                <w:szCs w:val="24"/>
              </w:rPr>
              <w:tab/>
              <w:t xml:space="preserve">zapewnia, że wykonywanie działalności nie zagraża obronności, bezpieczeństwu państwa lub bezpieczeństwu i porządkowi publicznemu. </w:t>
            </w:r>
          </w:p>
          <w:p w14:paraId="7D99C78B" w14:textId="77777777" w:rsidR="000679FD" w:rsidRPr="008C7038" w:rsidRDefault="002E7A3F"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lastRenderedPageBreak/>
              <w:t>Ponadto Poczta Polska S.A. spełnia wymogi bezpieczeństwa w zakresie wydruków korespondencji realizowanych w Ośrodkach Wydruku i Konfekcjonowania (OWiK) - posiada certyfikaty zgodności z normami ISO:27001, ISO:22301, ISO:9001, ISO:31000.</w:t>
            </w:r>
          </w:p>
          <w:p w14:paraId="182AC374" w14:textId="77777777" w:rsidR="00550C86"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Analizując wpływ cyfryzacji na rynek producentów papieru należy wskazać kilka aspektów:</w:t>
            </w:r>
          </w:p>
          <w:p w14:paraId="3B98F2B0"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color w:val="000000"/>
                <w:sz w:val="24"/>
                <w:szCs w:val="24"/>
                <w:shd w:val="clear" w:color="auto" w:fill="FFFFFF"/>
              </w:rPr>
              <w:t>c</w:t>
            </w:r>
            <w:r w:rsidR="00550C86" w:rsidRPr="008C7038">
              <w:rPr>
                <w:rFonts w:ascii="Times New Roman" w:hAnsi="Times New Roman" w:cs="Times New Roman"/>
                <w:color w:val="000000"/>
                <w:sz w:val="24"/>
                <w:szCs w:val="24"/>
                <w:shd w:val="clear" w:color="auto" w:fill="FFFFFF"/>
              </w:rPr>
              <w:t xml:space="preserve">elem elektronizacji doręczeń nie jest </w:t>
            </w:r>
            <w:r w:rsidR="008950C9" w:rsidRPr="008C7038">
              <w:rPr>
                <w:rFonts w:ascii="Times New Roman" w:hAnsi="Times New Roman" w:cs="Times New Roman"/>
                <w:color w:val="000000"/>
                <w:sz w:val="24"/>
                <w:szCs w:val="24"/>
                <w:shd w:val="clear" w:color="auto" w:fill="FFFFFF"/>
              </w:rPr>
              <w:t xml:space="preserve">całkowita </w:t>
            </w:r>
            <w:r w:rsidR="00550C86" w:rsidRPr="008C7038">
              <w:rPr>
                <w:rFonts w:ascii="Times New Roman" w:hAnsi="Times New Roman" w:cs="Times New Roman"/>
                <w:color w:val="000000"/>
                <w:sz w:val="24"/>
                <w:szCs w:val="24"/>
                <w:shd w:val="clear" w:color="auto" w:fill="FFFFFF"/>
              </w:rPr>
              <w:t xml:space="preserve">eliminacja doręczeń papierowych a </w:t>
            </w:r>
            <w:r w:rsidR="008950C9" w:rsidRPr="008C7038">
              <w:rPr>
                <w:rFonts w:ascii="Times New Roman" w:hAnsi="Times New Roman" w:cs="Times New Roman"/>
                <w:color w:val="000000"/>
                <w:sz w:val="24"/>
                <w:szCs w:val="24"/>
                <w:shd w:val="clear" w:color="auto" w:fill="FFFFFF"/>
              </w:rPr>
              <w:t>raczej</w:t>
            </w:r>
            <w:r w:rsidR="00550C86" w:rsidRPr="008C7038">
              <w:rPr>
                <w:rFonts w:ascii="Times New Roman" w:hAnsi="Times New Roman" w:cs="Times New Roman"/>
                <w:color w:val="000000"/>
                <w:sz w:val="24"/>
                <w:szCs w:val="24"/>
                <w:shd w:val="clear" w:color="auto" w:fill="FFFFFF"/>
              </w:rPr>
              <w:t xml:space="preserve"> ich uzupełnienie</w:t>
            </w:r>
            <w:r w:rsidR="008950C9" w:rsidRPr="008C7038">
              <w:rPr>
                <w:rFonts w:ascii="Times New Roman" w:hAnsi="Times New Roman" w:cs="Times New Roman"/>
                <w:color w:val="000000"/>
                <w:sz w:val="24"/>
                <w:szCs w:val="24"/>
                <w:shd w:val="clear" w:color="auto" w:fill="FFFFFF"/>
              </w:rPr>
              <w:t>,</w:t>
            </w:r>
            <w:r w:rsidR="00550C86" w:rsidRPr="008C7038">
              <w:rPr>
                <w:rFonts w:ascii="Times New Roman" w:hAnsi="Times New Roman" w:cs="Times New Roman"/>
                <w:color w:val="000000"/>
                <w:sz w:val="24"/>
                <w:szCs w:val="24"/>
                <w:shd w:val="clear" w:color="auto" w:fill="FFFFFF"/>
              </w:rPr>
              <w:t xml:space="preserve"> poprzez wprowadzenie równoważnych co do skutków prawnych</w:t>
            </w:r>
            <w:r w:rsidR="008950C9" w:rsidRPr="008C7038">
              <w:rPr>
                <w:rFonts w:ascii="Times New Roman" w:hAnsi="Times New Roman" w:cs="Times New Roman"/>
                <w:color w:val="000000"/>
                <w:sz w:val="24"/>
                <w:szCs w:val="24"/>
                <w:shd w:val="clear" w:color="auto" w:fill="FFFFFF"/>
              </w:rPr>
              <w:t>,</w:t>
            </w:r>
            <w:r w:rsidR="00550C86" w:rsidRPr="008C7038">
              <w:rPr>
                <w:rFonts w:ascii="Times New Roman" w:hAnsi="Times New Roman" w:cs="Times New Roman"/>
                <w:color w:val="000000"/>
                <w:sz w:val="24"/>
                <w:szCs w:val="24"/>
                <w:shd w:val="clear" w:color="auto" w:fill="FFFFFF"/>
              </w:rPr>
              <w:t xml:space="preserve"> doręczeń elektronicznych</w:t>
            </w:r>
            <w:r w:rsidR="008950C9" w:rsidRPr="008C7038">
              <w:rPr>
                <w:rFonts w:ascii="Times New Roman" w:hAnsi="Times New Roman" w:cs="Times New Roman"/>
                <w:color w:val="000000"/>
                <w:sz w:val="24"/>
                <w:szCs w:val="24"/>
                <w:shd w:val="clear" w:color="auto" w:fill="FFFFFF"/>
              </w:rPr>
              <w:t>.</w:t>
            </w:r>
            <w:r w:rsidR="00550C86" w:rsidRPr="008C7038">
              <w:rPr>
                <w:rFonts w:ascii="Times New Roman" w:hAnsi="Times New Roman" w:cs="Times New Roman"/>
                <w:color w:val="000000"/>
                <w:sz w:val="24"/>
                <w:szCs w:val="24"/>
                <w:shd w:val="clear" w:color="auto" w:fill="FFFFFF"/>
              </w:rPr>
              <w:t xml:space="preserve"> </w:t>
            </w:r>
            <w:r w:rsidR="008950C9" w:rsidRPr="008C7038">
              <w:rPr>
                <w:rFonts w:ascii="Times New Roman" w:hAnsi="Times New Roman" w:cs="Times New Roman"/>
                <w:color w:val="000000"/>
                <w:sz w:val="24"/>
                <w:szCs w:val="24"/>
                <w:shd w:val="clear" w:color="auto" w:fill="FFFFFF"/>
              </w:rPr>
              <w:t>A więc celem jest</w:t>
            </w:r>
            <w:r w:rsidR="00550C86" w:rsidRPr="008C7038">
              <w:rPr>
                <w:rFonts w:ascii="Times New Roman" w:hAnsi="Times New Roman" w:cs="Times New Roman"/>
                <w:color w:val="000000"/>
                <w:sz w:val="24"/>
                <w:szCs w:val="24"/>
                <w:shd w:val="clear" w:color="auto" w:fill="FFFFFF"/>
              </w:rPr>
              <w:t xml:space="preserve"> także stworzenie pomostu między tradycyjnym doręczeniem a doręczeniem cyfrowym – takim pomostem będzie publiczna usługa hybrydowa,</w:t>
            </w:r>
          </w:p>
          <w:p w14:paraId="75A31098"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color w:val="000000"/>
                <w:sz w:val="24"/>
                <w:szCs w:val="24"/>
                <w:shd w:val="clear" w:color="auto" w:fill="FFFFFF"/>
              </w:rPr>
              <w:t>p</w:t>
            </w:r>
            <w:r w:rsidR="00550C86" w:rsidRPr="008C7038">
              <w:rPr>
                <w:rFonts w:ascii="Times New Roman" w:hAnsi="Times New Roman" w:cs="Times New Roman"/>
                <w:color w:val="000000"/>
                <w:sz w:val="24"/>
                <w:szCs w:val="24"/>
                <w:shd w:val="clear" w:color="auto" w:fill="FFFFFF"/>
              </w:rPr>
              <w:t>ubliczna usługa hybrydowa zawiera w sobie proces przekształcania przesyłki z postaci elektronicznej w postać papierową poprzez usługi wydruku, co wiąże się z koniecznością zapewnienia odpowiednich zasobów papieru</w:t>
            </w:r>
            <w:r w:rsidRPr="008C7038">
              <w:rPr>
                <w:rFonts w:ascii="Times New Roman" w:hAnsi="Times New Roman" w:cs="Times New Roman"/>
                <w:color w:val="000000"/>
                <w:sz w:val="24"/>
                <w:szCs w:val="24"/>
                <w:shd w:val="clear" w:color="auto" w:fill="FFFFFF"/>
              </w:rPr>
              <w:t>,</w:t>
            </w:r>
          </w:p>
          <w:p w14:paraId="0BC07C13"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sz w:val="24"/>
                <w:szCs w:val="24"/>
              </w:rPr>
              <w:t>z</w:t>
            </w:r>
            <w:r w:rsidR="00550C86" w:rsidRPr="008C7038">
              <w:rPr>
                <w:rFonts w:ascii="Times New Roman" w:hAnsi="Times New Roman" w:cs="Times New Roman"/>
                <w:sz w:val="24"/>
                <w:szCs w:val="24"/>
              </w:rPr>
              <w:t xml:space="preserve"> elektronizacji doręczeń wyłączone są niektóre kategorie przesyłek papierowych</w:t>
            </w:r>
            <w:r w:rsidR="007D7479" w:rsidRPr="008C7038">
              <w:rPr>
                <w:rFonts w:ascii="Times New Roman" w:hAnsi="Times New Roman" w:cs="Times New Roman"/>
                <w:sz w:val="24"/>
                <w:szCs w:val="24"/>
              </w:rPr>
              <w:t>,</w:t>
            </w:r>
            <w:r w:rsidR="00550C86" w:rsidRPr="008C7038">
              <w:rPr>
                <w:rFonts w:ascii="Times New Roman" w:hAnsi="Times New Roman" w:cs="Times New Roman"/>
                <w:sz w:val="24"/>
                <w:szCs w:val="24"/>
              </w:rPr>
              <w:t xml:space="preserve"> np. </w:t>
            </w:r>
            <w:r w:rsidR="007D7479" w:rsidRPr="008C7038">
              <w:rPr>
                <w:rFonts w:ascii="Times New Roman" w:hAnsi="Times New Roman" w:cs="Times New Roman"/>
                <w:sz w:val="24"/>
                <w:szCs w:val="24"/>
              </w:rPr>
              <w:t>z uwagi na objętość i rozmiar</w:t>
            </w:r>
            <w:r w:rsidRPr="008C7038">
              <w:rPr>
                <w:rFonts w:ascii="Times New Roman" w:hAnsi="Times New Roman" w:cs="Times New Roman"/>
                <w:sz w:val="24"/>
                <w:szCs w:val="24"/>
              </w:rPr>
              <w:t>,</w:t>
            </w:r>
            <w:r w:rsidR="007D7479" w:rsidRPr="008C7038">
              <w:rPr>
                <w:rFonts w:ascii="Times New Roman" w:hAnsi="Times New Roman" w:cs="Times New Roman"/>
                <w:sz w:val="24"/>
                <w:szCs w:val="24"/>
              </w:rPr>
              <w:t xml:space="preserve"> czy w sytuacji</w:t>
            </w:r>
            <w:r w:rsidRPr="008C7038">
              <w:rPr>
                <w:rFonts w:ascii="Times New Roman" w:hAnsi="Times New Roman" w:cs="Times New Roman"/>
                <w:sz w:val="24"/>
                <w:szCs w:val="24"/>
              </w:rPr>
              <w:t>,</w:t>
            </w:r>
            <w:r w:rsidR="007D7479" w:rsidRPr="008C7038">
              <w:rPr>
                <w:rFonts w:ascii="Times New Roman" w:hAnsi="Times New Roman" w:cs="Times New Roman"/>
                <w:sz w:val="24"/>
                <w:szCs w:val="24"/>
              </w:rPr>
              <w:t xml:space="preserve"> gdy ze względu na unikatowość nie może zostać zastąpiona dokumentem elektronicznym powstałym w wyniku przekształcenia</w:t>
            </w:r>
            <w:r w:rsidRPr="008C7038">
              <w:rPr>
                <w:rFonts w:ascii="Times New Roman" w:hAnsi="Times New Roman" w:cs="Times New Roman"/>
                <w:sz w:val="24"/>
                <w:szCs w:val="24"/>
              </w:rPr>
              <w:t>,</w:t>
            </w:r>
            <w:r w:rsidR="007D7479" w:rsidRPr="008C7038">
              <w:rPr>
                <w:rFonts w:ascii="Times New Roman" w:hAnsi="Times New Roman" w:cs="Times New Roman"/>
                <w:sz w:val="24"/>
                <w:szCs w:val="24"/>
              </w:rPr>
              <w:t xml:space="preserve"> </w:t>
            </w:r>
          </w:p>
          <w:p w14:paraId="7264AB42" w14:textId="77777777" w:rsidR="00550C86" w:rsidRPr="008C7038" w:rsidRDefault="00694E00" w:rsidP="00277F6C">
            <w:pPr>
              <w:pStyle w:val="Akapitzlist"/>
              <w:numPr>
                <w:ilvl w:val="0"/>
                <w:numId w:val="43"/>
              </w:numPr>
              <w:spacing w:after="120"/>
              <w:ind w:left="346" w:hanging="283"/>
              <w:contextualSpacing w:val="0"/>
              <w:jc w:val="both"/>
              <w:rPr>
                <w:rFonts w:ascii="Times New Roman" w:hAnsi="Times New Roman" w:cs="Times New Roman"/>
                <w:sz w:val="24"/>
                <w:szCs w:val="24"/>
              </w:rPr>
            </w:pPr>
            <w:r w:rsidRPr="008C7038">
              <w:rPr>
                <w:rFonts w:ascii="Times New Roman" w:hAnsi="Times New Roman" w:cs="Times New Roman"/>
                <w:sz w:val="24"/>
                <w:szCs w:val="24"/>
              </w:rPr>
              <w:t>i</w:t>
            </w:r>
            <w:r w:rsidR="00550C86" w:rsidRPr="008C7038">
              <w:rPr>
                <w:rFonts w:ascii="Times New Roman" w:hAnsi="Times New Roman" w:cs="Times New Roman"/>
                <w:sz w:val="24"/>
                <w:szCs w:val="24"/>
              </w:rPr>
              <w:t xml:space="preserve">stnieje już na rynku zbliżona do projektowanej w ustawie </w:t>
            </w:r>
            <w:r w:rsidRPr="008C7038">
              <w:rPr>
                <w:rFonts w:ascii="Times New Roman" w:hAnsi="Times New Roman" w:cs="Times New Roman"/>
                <w:sz w:val="24"/>
                <w:szCs w:val="24"/>
              </w:rPr>
              <w:t>p</w:t>
            </w:r>
            <w:r w:rsidR="00550C86" w:rsidRPr="008C7038">
              <w:rPr>
                <w:rFonts w:ascii="Times New Roman" w:hAnsi="Times New Roman" w:cs="Times New Roman"/>
                <w:sz w:val="24"/>
                <w:szCs w:val="24"/>
              </w:rPr>
              <w:t xml:space="preserve">ublicznej </w:t>
            </w:r>
            <w:r w:rsidRPr="008C7038">
              <w:rPr>
                <w:rFonts w:ascii="Times New Roman" w:hAnsi="Times New Roman" w:cs="Times New Roman"/>
                <w:sz w:val="24"/>
                <w:szCs w:val="24"/>
              </w:rPr>
              <w:t>u</w:t>
            </w:r>
            <w:r w:rsidR="00550C86" w:rsidRPr="008C7038">
              <w:rPr>
                <w:rFonts w:ascii="Times New Roman" w:hAnsi="Times New Roman" w:cs="Times New Roman"/>
                <w:sz w:val="24"/>
                <w:szCs w:val="24"/>
              </w:rPr>
              <w:t xml:space="preserve">sługi </w:t>
            </w:r>
            <w:r w:rsidRPr="008C7038">
              <w:rPr>
                <w:rFonts w:ascii="Times New Roman" w:hAnsi="Times New Roman" w:cs="Times New Roman"/>
                <w:sz w:val="24"/>
                <w:szCs w:val="24"/>
              </w:rPr>
              <w:t>h</w:t>
            </w:r>
            <w:r w:rsidR="00550C86" w:rsidRPr="008C7038">
              <w:rPr>
                <w:rFonts w:ascii="Times New Roman" w:hAnsi="Times New Roman" w:cs="Times New Roman"/>
                <w:sz w:val="24"/>
                <w:szCs w:val="24"/>
              </w:rPr>
              <w:t xml:space="preserve">ybrydowej </w:t>
            </w:r>
            <w:r w:rsidRPr="008C7038">
              <w:rPr>
                <w:rFonts w:ascii="Times New Roman" w:hAnsi="Times New Roman" w:cs="Times New Roman"/>
                <w:sz w:val="24"/>
                <w:szCs w:val="24"/>
              </w:rPr>
              <w:t xml:space="preserve">usługa </w:t>
            </w:r>
            <w:r w:rsidR="00550C86" w:rsidRPr="008C7038">
              <w:rPr>
                <w:rFonts w:ascii="Times New Roman" w:hAnsi="Times New Roman" w:cs="Times New Roman"/>
                <w:sz w:val="24"/>
                <w:szCs w:val="24"/>
              </w:rPr>
              <w:t>realizowana obecnie przez Pocztę Polską (za pomocą spółki Envelo)</w:t>
            </w:r>
            <w:r w:rsidRPr="008C7038">
              <w:rPr>
                <w:rFonts w:ascii="Times New Roman" w:hAnsi="Times New Roman" w:cs="Times New Roman"/>
                <w:sz w:val="24"/>
                <w:szCs w:val="24"/>
              </w:rPr>
              <w:t>,</w:t>
            </w:r>
            <w:r w:rsidR="00550C86" w:rsidRPr="008C7038">
              <w:rPr>
                <w:rFonts w:ascii="Times New Roman" w:hAnsi="Times New Roman" w:cs="Times New Roman"/>
                <w:sz w:val="24"/>
                <w:szCs w:val="24"/>
              </w:rPr>
              <w:t xml:space="preserve"> w której następuje przekształcenie w ramach doręczeń korespondencji w postaci papierowej w postać cyfrową oraz z postaci cyfrowej w postać papierową. W ramach tej usługi zrealizowano wydruk ponad 2</w:t>
            </w:r>
            <w:r w:rsidRPr="008C7038">
              <w:rPr>
                <w:rFonts w:ascii="Times New Roman" w:hAnsi="Times New Roman" w:cs="Times New Roman"/>
                <w:sz w:val="24"/>
                <w:szCs w:val="24"/>
              </w:rPr>
              <w:t xml:space="preserve"> </w:t>
            </w:r>
            <w:r w:rsidR="00550C86" w:rsidRPr="008C7038">
              <w:rPr>
                <w:rFonts w:ascii="Times New Roman" w:hAnsi="Times New Roman" w:cs="Times New Roman"/>
                <w:sz w:val="24"/>
                <w:szCs w:val="24"/>
              </w:rPr>
              <w:t>mln przesyłek poleconych i ok</w:t>
            </w:r>
            <w:r w:rsidRPr="008C7038">
              <w:rPr>
                <w:rFonts w:ascii="Times New Roman" w:hAnsi="Times New Roman" w:cs="Times New Roman"/>
                <w:sz w:val="24"/>
                <w:szCs w:val="24"/>
              </w:rPr>
              <w:t>.</w:t>
            </w:r>
            <w:r w:rsidR="00550C86" w:rsidRPr="008C7038">
              <w:rPr>
                <w:rFonts w:ascii="Times New Roman" w:hAnsi="Times New Roman" w:cs="Times New Roman"/>
                <w:sz w:val="24"/>
                <w:szCs w:val="24"/>
              </w:rPr>
              <w:t xml:space="preserve"> 20</w:t>
            </w:r>
            <w:r w:rsidRPr="008C7038">
              <w:rPr>
                <w:rFonts w:ascii="Times New Roman" w:hAnsi="Times New Roman" w:cs="Times New Roman"/>
                <w:sz w:val="24"/>
                <w:szCs w:val="24"/>
              </w:rPr>
              <w:t xml:space="preserve"> </w:t>
            </w:r>
            <w:r w:rsidR="00550C86" w:rsidRPr="008C7038">
              <w:rPr>
                <w:rFonts w:ascii="Times New Roman" w:hAnsi="Times New Roman" w:cs="Times New Roman"/>
                <w:sz w:val="24"/>
                <w:szCs w:val="24"/>
              </w:rPr>
              <w:t>mln przesyłek listowych w 2017 r.</w:t>
            </w:r>
            <w:r w:rsidRPr="008C7038">
              <w:rPr>
                <w:rFonts w:ascii="Times New Roman" w:hAnsi="Times New Roman" w:cs="Times New Roman"/>
                <w:sz w:val="24"/>
                <w:szCs w:val="24"/>
              </w:rPr>
              <w:t>, c</w:t>
            </w:r>
            <w:r w:rsidR="00550C86" w:rsidRPr="008C7038">
              <w:rPr>
                <w:rFonts w:ascii="Times New Roman" w:hAnsi="Times New Roman" w:cs="Times New Roman"/>
                <w:sz w:val="24"/>
                <w:szCs w:val="24"/>
              </w:rPr>
              <w:t xml:space="preserve">o </w:t>
            </w:r>
            <w:r w:rsidR="007D7479" w:rsidRPr="008C7038">
              <w:rPr>
                <w:rFonts w:ascii="Times New Roman" w:hAnsi="Times New Roman" w:cs="Times New Roman"/>
                <w:sz w:val="24"/>
                <w:szCs w:val="24"/>
              </w:rPr>
              <w:t xml:space="preserve">przekłada się na znaczącą </w:t>
            </w:r>
            <w:r w:rsidR="00550C86" w:rsidRPr="008C7038">
              <w:rPr>
                <w:rFonts w:ascii="Times New Roman" w:hAnsi="Times New Roman" w:cs="Times New Roman"/>
                <w:sz w:val="24"/>
                <w:szCs w:val="24"/>
              </w:rPr>
              <w:t>konsumpcję papieru</w:t>
            </w:r>
            <w:r w:rsidR="00D728D1" w:rsidRPr="008C7038">
              <w:rPr>
                <w:rFonts w:ascii="Times New Roman" w:hAnsi="Times New Roman" w:cs="Times New Roman"/>
                <w:sz w:val="24"/>
                <w:szCs w:val="24"/>
              </w:rPr>
              <w:t>. Wedłu</w:t>
            </w:r>
            <w:r w:rsidR="007D7479" w:rsidRPr="008C7038">
              <w:rPr>
                <w:rFonts w:ascii="Times New Roman" w:hAnsi="Times New Roman" w:cs="Times New Roman"/>
                <w:sz w:val="24"/>
                <w:szCs w:val="24"/>
              </w:rPr>
              <w:t xml:space="preserve">g danych </w:t>
            </w:r>
            <w:r w:rsidR="00D728D1" w:rsidRPr="008C7038">
              <w:rPr>
                <w:rFonts w:ascii="Times New Roman" w:hAnsi="Times New Roman" w:cs="Times New Roman"/>
                <w:sz w:val="24"/>
                <w:szCs w:val="24"/>
              </w:rPr>
              <w:t>w</w:t>
            </w:r>
            <w:r w:rsidR="007D7479" w:rsidRPr="008C7038">
              <w:rPr>
                <w:rFonts w:ascii="Times New Roman" w:hAnsi="Times New Roman" w:cs="Times New Roman"/>
                <w:sz w:val="24"/>
                <w:szCs w:val="24"/>
              </w:rPr>
              <w:t xml:space="preserve"> 2018 roku wydrukowano </w:t>
            </w:r>
            <w:r w:rsidR="007D7479" w:rsidRPr="008C7038">
              <w:rPr>
                <w:rFonts w:ascii="Times New Roman" w:eastAsia="Times New Roman" w:hAnsi="Times New Roman" w:cs="Times New Roman"/>
                <w:b/>
                <w:bCs/>
                <w:sz w:val="24"/>
                <w:szCs w:val="24"/>
              </w:rPr>
              <w:t xml:space="preserve">72 miliony stron </w:t>
            </w:r>
            <w:r w:rsidR="00550C86" w:rsidRPr="008C7038">
              <w:rPr>
                <w:rFonts w:ascii="Times New Roman" w:hAnsi="Times New Roman" w:cs="Times New Roman"/>
                <w:sz w:val="24"/>
                <w:szCs w:val="24"/>
              </w:rPr>
              <w:t xml:space="preserve">podczas gdy digitalizacja objęła jedynie </w:t>
            </w:r>
            <w:r w:rsidR="00550C86" w:rsidRPr="008C7038">
              <w:rPr>
                <w:rFonts w:ascii="Times New Roman" w:hAnsi="Times New Roman" w:cs="Times New Roman"/>
                <w:b/>
                <w:sz w:val="24"/>
                <w:szCs w:val="24"/>
              </w:rPr>
              <w:t>6</w:t>
            </w:r>
            <w:r w:rsidR="00D728D1" w:rsidRPr="008C7038">
              <w:rPr>
                <w:rFonts w:ascii="Times New Roman" w:hAnsi="Times New Roman" w:cs="Times New Roman"/>
                <w:b/>
                <w:sz w:val="24"/>
                <w:szCs w:val="24"/>
              </w:rPr>
              <w:t xml:space="preserve"> </w:t>
            </w:r>
            <w:r w:rsidR="00550C86" w:rsidRPr="008C7038">
              <w:rPr>
                <w:rFonts w:ascii="Times New Roman" w:hAnsi="Times New Roman" w:cs="Times New Roman"/>
                <w:b/>
                <w:sz w:val="24"/>
                <w:szCs w:val="24"/>
              </w:rPr>
              <w:t>mln kartek</w:t>
            </w:r>
            <w:r w:rsidR="007D7479" w:rsidRPr="008C7038">
              <w:rPr>
                <w:rFonts w:ascii="Times New Roman" w:hAnsi="Times New Roman" w:cs="Times New Roman"/>
                <w:sz w:val="24"/>
                <w:szCs w:val="24"/>
              </w:rPr>
              <w:t xml:space="preserve"> (ok 250 000 przesyłek rocznie)</w:t>
            </w:r>
            <w:r w:rsidR="00550C86" w:rsidRPr="008C7038">
              <w:rPr>
                <w:rFonts w:ascii="Times New Roman" w:hAnsi="Times New Roman" w:cs="Times New Roman"/>
                <w:sz w:val="24"/>
                <w:szCs w:val="24"/>
              </w:rPr>
              <w:t>.</w:t>
            </w:r>
          </w:p>
          <w:p w14:paraId="1B0AF253" w14:textId="77777777" w:rsidR="00550C86"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Analizując wpływ na rynek papierniczy należy zatem wymienić czynniki pozytywnie wpływające na popyt kształtowany na tym rynku jak również negatywne, które prezentuje poniższa tabela:</w:t>
            </w:r>
          </w:p>
          <w:tbl>
            <w:tblPr>
              <w:tblStyle w:val="Tabela-Siatka"/>
              <w:tblW w:w="0" w:type="auto"/>
              <w:tblLayout w:type="fixed"/>
              <w:tblLook w:val="04A0" w:firstRow="1" w:lastRow="0" w:firstColumn="1" w:lastColumn="0" w:noHBand="0" w:noVBand="1"/>
            </w:tblPr>
            <w:tblGrid>
              <w:gridCol w:w="4531"/>
              <w:gridCol w:w="3890"/>
            </w:tblGrid>
            <w:tr w:rsidR="00550C86" w:rsidRPr="008C7038" w14:paraId="354491A9" w14:textId="77777777" w:rsidTr="00271F42">
              <w:tc>
                <w:tcPr>
                  <w:tcW w:w="4531" w:type="dxa"/>
                  <w:shd w:val="clear" w:color="auto" w:fill="FFFFFF" w:themeFill="background1"/>
                </w:tcPr>
                <w:p w14:paraId="0DFF0AA2" w14:textId="77777777" w:rsidR="00550C86" w:rsidRPr="008C7038" w:rsidRDefault="00550C86" w:rsidP="00277F6C">
                  <w:pPr>
                    <w:jc w:val="both"/>
                    <w:rPr>
                      <w:rFonts w:ascii="Times New Roman" w:hAnsi="Times New Roman" w:cs="Times New Roman"/>
                      <w:b/>
                      <w:color w:val="000000"/>
                      <w:sz w:val="24"/>
                      <w:szCs w:val="24"/>
                      <w:shd w:val="clear" w:color="auto" w:fill="FFFFFF"/>
                    </w:rPr>
                  </w:pPr>
                  <w:r w:rsidRPr="008C7038">
                    <w:rPr>
                      <w:rFonts w:ascii="Times New Roman" w:hAnsi="Times New Roman" w:cs="Times New Roman"/>
                      <w:b/>
                      <w:color w:val="000000"/>
                      <w:sz w:val="24"/>
                      <w:szCs w:val="24"/>
                      <w:shd w:val="clear" w:color="auto" w:fill="FFFFFF"/>
                    </w:rPr>
                    <w:t>Czynniki potencjalnie zwiększające popyt na papier</w:t>
                  </w:r>
                </w:p>
              </w:tc>
              <w:tc>
                <w:tcPr>
                  <w:tcW w:w="3890" w:type="dxa"/>
                  <w:shd w:val="clear" w:color="auto" w:fill="FFFFFF" w:themeFill="background1"/>
                </w:tcPr>
                <w:p w14:paraId="0C47B056" w14:textId="77777777" w:rsidR="00550C86" w:rsidRPr="008C7038" w:rsidRDefault="00550C86" w:rsidP="00277F6C">
                  <w:pPr>
                    <w:jc w:val="both"/>
                    <w:rPr>
                      <w:rFonts w:ascii="Times New Roman" w:hAnsi="Times New Roman" w:cs="Times New Roman"/>
                      <w:b/>
                      <w:color w:val="000000"/>
                      <w:sz w:val="24"/>
                      <w:szCs w:val="24"/>
                      <w:shd w:val="clear" w:color="auto" w:fill="FFFFFF"/>
                    </w:rPr>
                  </w:pPr>
                  <w:r w:rsidRPr="008C7038">
                    <w:rPr>
                      <w:rFonts w:ascii="Times New Roman" w:hAnsi="Times New Roman" w:cs="Times New Roman"/>
                      <w:b/>
                      <w:color w:val="000000"/>
                      <w:sz w:val="24"/>
                      <w:szCs w:val="24"/>
                      <w:shd w:val="clear" w:color="auto" w:fill="FFFFFF"/>
                    </w:rPr>
                    <w:t>Czynniki potencjalnie zmniejszające popyt na papier</w:t>
                  </w:r>
                </w:p>
              </w:tc>
            </w:tr>
            <w:tr w:rsidR="00550C86" w:rsidRPr="008C7038" w14:paraId="74F15ACB" w14:textId="77777777" w:rsidTr="00271F42">
              <w:tc>
                <w:tcPr>
                  <w:tcW w:w="4531" w:type="dxa"/>
                </w:tcPr>
                <w:p w14:paraId="2294BFA3" w14:textId="77777777" w:rsidR="00550C86"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 xml:space="preserve">Wprowadzenie i popularyzacja </w:t>
                  </w:r>
                  <w:r w:rsidR="00D728D1" w:rsidRPr="008C7038">
                    <w:rPr>
                      <w:rFonts w:ascii="Times New Roman" w:hAnsi="Times New Roman" w:cs="Times New Roman"/>
                      <w:color w:val="000000"/>
                      <w:sz w:val="24"/>
                      <w:szCs w:val="24"/>
                      <w:shd w:val="clear" w:color="auto" w:fill="FFFFFF"/>
                    </w:rPr>
                    <w:t>p</w:t>
                  </w:r>
                  <w:r w:rsidRPr="008C7038">
                    <w:rPr>
                      <w:rFonts w:ascii="Times New Roman" w:hAnsi="Times New Roman" w:cs="Times New Roman"/>
                      <w:color w:val="000000"/>
                      <w:sz w:val="24"/>
                      <w:szCs w:val="24"/>
                      <w:shd w:val="clear" w:color="auto" w:fill="FFFFFF"/>
                    </w:rPr>
                    <w:t xml:space="preserve">ublicznej </w:t>
                  </w:r>
                  <w:r w:rsidR="00D728D1" w:rsidRPr="008C7038">
                    <w:rPr>
                      <w:rFonts w:ascii="Times New Roman" w:hAnsi="Times New Roman" w:cs="Times New Roman"/>
                      <w:color w:val="000000"/>
                      <w:sz w:val="24"/>
                      <w:szCs w:val="24"/>
                      <w:shd w:val="clear" w:color="auto" w:fill="FFFFFF"/>
                    </w:rPr>
                    <w:t>u</w:t>
                  </w:r>
                  <w:r w:rsidRPr="008C7038">
                    <w:rPr>
                      <w:rFonts w:ascii="Times New Roman" w:hAnsi="Times New Roman" w:cs="Times New Roman"/>
                      <w:color w:val="000000"/>
                      <w:sz w:val="24"/>
                      <w:szCs w:val="24"/>
                      <w:shd w:val="clear" w:color="auto" w:fill="FFFFFF"/>
                    </w:rPr>
                    <w:t xml:space="preserve">sługi </w:t>
                  </w:r>
                  <w:r w:rsidR="00D728D1" w:rsidRPr="008C7038">
                    <w:rPr>
                      <w:rFonts w:ascii="Times New Roman" w:hAnsi="Times New Roman" w:cs="Times New Roman"/>
                      <w:color w:val="000000"/>
                      <w:sz w:val="24"/>
                      <w:szCs w:val="24"/>
                      <w:shd w:val="clear" w:color="auto" w:fill="FFFFFF"/>
                    </w:rPr>
                    <w:t>h</w:t>
                  </w:r>
                  <w:r w:rsidRPr="008C7038">
                    <w:rPr>
                      <w:rFonts w:ascii="Times New Roman" w:hAnsi="Times New Roman" w:cs="Times New Roman"/>
                      <w:color w:val="000000"/>
                      <w:sz w:val="24"/>
                      <w:szCs w:val="24"/>
                      <w:shd w:val="clear" w:color="auto" w:fill="FFFFFF"/>
                    </w:rPr>
                    <w:t xml:space="preserve">ybrydowej dla wykluczonych cyfrowo oraz tych którzy nie zgodzili się na </w:t>
                  </w:r>
                  <w:r w:rsidR="00B7368D" w:rsidRPr="008C7038">
                    <w:rPr>
                      <w:rFonts w:ascii="Times New Roman" w:hAnsi="Times New Roman" w:cs="Times New Roman"/>
                      <w:color w:val="000000"/>
                      <w:sz w:val="24"/>
                      <w:szCs w:val="24"/>
                      <w:shd w:val="clear" w:color="auto" w:fill="FFFFFF"/>
                    </w:rPr>
                    <w:t>doręczenia elektroniczne</w:t>
                  </w:r>
                  <w:r w:rsidRPr="008C7038">
                    <w:rPr>
                      <w:rFonts w:ascii="Times New Roman" w:hAnsi="Times New Roman" w:cs="Times New Roman"/>
                      <w:color w:val="000000"/>
                      <w:sz w:val="24"/>
                      <w:szCs w:val="24"/>
                      <w:shd w:val="clear" w:color="auto" w:fill="FFFFFF"/>
                    </w:rPr>
                    <w:t xml:space="preserve"> </w:t>
                  </w:r>
                  <w:r w:rsidR="00D728D1" w:rsidRPr="008C7038">
                    <w:rPr>
                      <w:rFonts w:ascii="Times New Roman" w:hAnsi="Times New Roman" w:cs="Times New Roman"/>
                      <w:color w:val="000000"/>
                      <w:sz w:val="24"/>
                      <w:szCs w:val="24"/>
                      <w:shd w:val="clear" w:color="auto" w:fill="FFFFFF"/>
                    </w:rPr>
                    <w:t xml:space="preserve">- </w:t>
                  </w:r>
                  <w:r w:rsidRPr="008C7038">
                    <w:rPr>
                      <w:rFonts w:ascii="Times New Roman" w:hAnsi="Times New Roman" w:cs="Times New Roman"/>
                      <w:color w:val="000000"/>
                      <w:sz w:val="24"/>
                      <w:szCs w:val="24"/>
                      <w:shd w:val="clear" w:color="auto" w:fill="FFFFFF"/>
                    </w:rPr>
                    <w:t xml:space="preserve">w zakresie wydruku korespondencji przekształcanej z postaci cyfrowej w postać papierową </w:t>
                  </w:r>
                </w:p>
              </w:tc>
              <w:tc>
                <w:tcPr>
                  <w:tcW w:w="3890" w:type="dxa"/>
                </w:tcPr>
                <w:p w14:paraId="3F888F61" w14:textId="77777777" w:rsidR="00271F42"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W projekcie zakłada się że redukcję skali zjawiska wydruków wtórnych realizowanych przez podmioty publiczne</w:t>
                  </w:r>
                  <w:r w:rsidR="00271F42" w:rsidRPr="008C7038">
                    <w:rPr>
                      <w:rFonts w:ascii="Times New Roman" w:hAnsi="Times New Roman" w:cs="Times New Roman"/>
                      <w:color w:val="000000"/>
                      <w:sz w:val="24"/>
                      <w:szCs w:val="24"/>
                      <w:shd w:val="clear" w:color="auto" w:fill="FFFFFF"/>
                    </w:rPr>
                    <w:t xml:space="preserve"> a także część informacji, która mogła być zwielokrotniona za pomocą postaci papierowej (kserokopie), ulegnie digitalizacji </w:t>
                  </w:r>
                  <w:r w:rsidR="00271F42" w:rsidRPr="008C7038">
                    <w:rPr>
                      <w:rFonts w:ascii="Times New Roman" w:hAnsi="Times New Roman" w:cs="Times New Roman"/>
                      <w:color w:val="000000"/>
                      <w:sz w:val="24"/>
                      <w:szCs w:val="24"/>
                      <w:shd w:val="clear" w:color="auto" w:fill="FFFFFF"/>
                    </w:rPr>
                    <w:br/>
                    <w:t>w procesie przekształcenia</w:t>
                  </w:r>
                  <w:r w:rsidR="00271F42" w:rsidRPr="008C7038">
                    <w:rPr>
                      <w:rFonts w:ascii="Times New Roman" w:hAnsi="Times New Roman" w:cs="Times New Roman"/>
                      <w:color w:val="000000"/>
                      <w:sz w:val="24"/>
                      <w:szCs w:val="24"/>
                      <w:shd w:val="clear" w:color="auto" w:fill="FFFFFF"/>
                    </w:rPr>
                    <w:br/>
                    <w:t>do postaci cyfrowej</w:t>
                  </w:r>
                </w:p>
              </w:tc>
            </w:tr>
            <w:tr w:rsidR="00550C86" w:rsidRPr="008C7038" w14:paraId="5C6A26A2" w14:textId="77777777" w:rsidTr="00271F42">
              <w:tc>
                <w:tcPr>
                  <w:tcW w:w="4531" w:type="dxa"/>
                </w:tcPr>
                <w:p w14:paraId="6A3526CA" w14:textId="77777777" w:rsidR="00550C86" w:rsidRPr="008C7038" w:rsidRDefault="00271F42"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Cyfryzacja usługi tradycyjnego doręczenia poprzez powiązanie listu poleconego z usługą konwersji do postaci cyfrowej nie redukuje jego użycia a jedynie powoduje jego przekształcenie w końcowym etapie doręczenia i jedynie do podmiotów publicznych</w:t>
                  </w:r>
                </w:p>
              </w:tc>
              <w:tc>
                <w:tcPr>
                  <w:tcW w:w="3890" w:type="dxa"/>
                </w:tcPr>
                <w:p w14:paraId="141DF5C4" w14:textId="77777777" w:rsidR="00550C86"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Realizacja korespondencji za pomocą publicznej usługi rejestrowanego doręczenia elektronicznego może zredukować zapotrzebowanie na wybrane rodzaje papieru jak koperty, znaczki, druki nadania/odbioru</w:t>
                  </w:r>
                </w:p>
              </w:tc>
            </w:tr>
            <w:tr w:rsidR="00550C86" w:rsidRPr="008C7038" w14:paraId="2674D173" w14:textId="77777777" w:rsidTr="00271F42">
              <w:tc>
                <w:tcPr>
                  <w:tcW w:w="4531" w:type="dxa"/>
                </w:tcPr>
                <w:p w14:paraId="6F590B29" w14:textId="77777777" w:rsidR="00550C86" w:rsidRPr="008C7038" w:rsidRDefault="00550C86" w:rsidP="00277F6C">
                  <w:pPr>
                    <w:jc w:val="both"/>
                    <w:rPr>
                      <w:rFonts w:ascii="Times New Roman" w:hAnsi="Times New Roman" w:cs="Times New Roman"/>
                      <w:color w:val="000000"/>
                      <w:sz w:val="24"/>
                      <w:szCs w:val="24"/>
                      <w:shd w:val="clear" w:color="auto" w:fill="FFFFFF"/>
                    </w:rPr>
                  </w:pPr>
                </w:p>
              </w:tc>
              <w:tc>
                <w:tcPr>
                  <w:tcW w:w="3890" w:type="dxa"/>
                </w:tcPr>
                <w:p w14:paraId="460E1CD4" w14:textId="77777777" w:rsidR="00550C86" w:rsidRPr="008C7038" w:rsidRDefault="00550C86" w:rsidP="00277F6C">
                  <w:pPr>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 xml:space="preserve">Realizacja części procesów biznesowych odbywać się będzie z wykorzystaniem e-usług w których używane będą usługi formularzowe (e-formularze) z jednoczesnym </w:t>
                  </w:r>
                  <w:r w:rsidRPr="008C7038">
                    <w:rPr>
                      <w:rFonts w:ascii="Times New Roman" w:hAnsi="Times New Roman" w:cs="Times New Roman"/>
                      <w:color w:val="000000"/>
                      <w:sz w:val="24"/>
                      <w:szCs w:val="24"/>
                      <w:shd w:val="clear" w:color="auto" w:fill="FFFFFF"/>
                    </w:rPr>
                    <w:lastRenderedPageBreak/>
                    <w:t>odwrotem od możliw</w:t>
                  </w:r>
                  <w:r w:rsidR="008950C9" w:rsidRPr="008C7038">
                    <w:rPr>
                      <w:rFonts w:ascii="Times New Roman" w:hAnsi="Times New Roman" w:cs="Times New Roman"/>
                      <w:color w:val="000000"/>
                      <w:sz w:val="24"/>
                      <w:szCs w:val="24"/>
                      <w:shd w:val="clear" w:color="auto" w:fill="FFFFFF"/>
                    </w:rPr>
                    <w:t xml:space="preserve">ości procesowania tradycyjnych </w:t>
                  </w:r>
                  <w:r w:rsidRPr="008C7038">
                    <w:rPr>
                      <w:rFonts w:ascii="Times New Roman" w:hAnsi="Times New Roman" w:cs="Times New Roman"/>
                      <w:color w:val="000000"/>
                      <w:sz w:val="24"/>
                      <w:szCs w:val="24"/>
                      <w:shd w:val="clear" w:color="auto" w:fill="FFFFFF"/>
                    </w:rPr>
                    <w:t>papierowych) wniosków składanych w urzędach</w:t>
                  </w:r>
                </w:p>
              </w:tc>
            </w:tr>
          </w:tbl>
          <w:p w14:paraId="08F8B519" w14:textId="3BE8AC43" w:rsidR="008950C9"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lastRenderedPageBreak/>
              <w:t>Pomimo że projekt e-Doręczenia znacząco przyczyni się do zmniejszenia obrotu korespondencji papierowej w urzędach oraz ob</w:t>
            </w:r>
            <w:r w:rsidR="00D728D1" w:rsidRPr="008C7038">
              <w:rPr>
                <w:rFonts w:ascii="Times New Roman" w:hAnsi="Times New Roman" w:cs="Times New Roman"/>
                <w:color w:val="000000"/>
                <w:sz w:val="24"/>
                <w:szCs w:val="24"/>
                <w:shd w:val="clear" w:color="auto" w:fill="FFFFFF"/>
              </w:rPr>
              <w:t>rotu</w:t>
            </w:r>
            <w:r w:rsidRPr="008C7038">
              <w:rPr>
                <w:rFonts w:ascii="Times New Roman" w:hAnsi="Times New Roman" w:cs="Times New Roman"/>
                <w:color w:val="000000"/>
                <w:sz w:val="24"/>
                <w:szCs w:val="24"/>
                <w:shd w:val="clear" w:color="auto" w:fill="FFFFFF"/>
              </w:rPr>
              <w:t xml:space="preserve"> dokumentacji wewnątrz podmiotów publicznych</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to korespondencja papierowa nadal zostanie jednak w obrocie, aby umożliwić kontakt z administracją osobom wykluczonym cyfrowo lub nie wyrażającym chęci doręczania elektronicznego</w:t>
            </w:r>
            <w:r w:rsidR="00A74F6A">
              <w:rPr>
                <w:rFonts w:ascii="Times New Roman" w:hAnsi="Times New Roman" w:cs="Times New Roman"/>
                <w:color w:val="000000"/>
                <w:sz w:val="24"/>
                <w:szCs w:val="24"/>
                <w:shd w:val="clear" w:color="auto" w:fill="FFFFFF"/>
              </w:rPr>
              <w:t xml:space="preserve">. </w:t>
            </w:r>
            <w:r w:rsidRPr="008C7038">
              <w:rPr>
                <w:rFonts w:ascii="Times New Roman" w:hAnsi="Times New Roman" w:cs="Times New Roman"/>
                <w:color w:val="000000"/>
                <w:sz w:val="24"/>
                <w:szCs w:val="24"/>
                <w:shd w:val="clear" w:color="auto" w:fill="FFFFFF"/>
              </w:rPr>
              <w:t>Warto zwrócić uwagę</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że ustawa nie godzi w interesy artykułowane przez lobby papiernicze do którego zaliczyć można wydawnictwa czy lobby księgarskie (np. nie wpływa na proponowaną przez Polską Izbę Książki Ustawę o książce)</w:t>
            </w:r>
            <w:r w:rsidR="00D728D1" w:rsidRPr="008C7038">
              <w:rPr>
                <w:rFonts w:ascii="Times New Roman" w:hAnsi="Times New Roman" w:cs="Times New Roman"/>
                <w:color w:val="000000"/>
                <w:sz w:val="24"/>
                <w:szCs w:val="24"/>
                <w:shd w:val="clear" w:color="auto" w:fill="FFFFFF"/>
              </w:rPr>
              <w:t xml:space="preserve">, </w:t>
            </w:r>
            <w:r w:rsidRPr="008C7038">
              <w:rPr>
                <w:rFonts w:ascii="Times New Roman" w:hAnsi="Times New Roman" w:cs="Times New Roman"/>
                <w:color w:val="000000"/>
                <w:sz w:val="24"/>
                <w:szCs w:val="24"/>
                <w:shd w:val="clear" w:color="auto" w:fill="FFFFFF"/>
              </w:rPr>
              <w:t xml:space="preserve">a część procesów cyfryzacji już i tak następuje np. doręczenie elektroniczne na elektroniczne skrzynki podawcze podmiotów publicznych, choć pozbawione nowych projektowanych funkcjonalności jest dostępne od dawna za pomocą platformy ePUAP. </w:t>
            </w:r>
          </w:p>
          <w:p w14:paraId="4848417F" w14:textId="77777777" w:rsidR="00550C86" w:rsidRPr="008C7038" w:rsidRDefault="00550C86" w:rsidP="00277F6C">
            <w:pPr>
              <w:spacing w:after="120"/>
              <w:jc w:val="both"/>
              <w:rPr>
                <w:rFonts w:ascii="Times New Roman" w:hAnsi="Times New Roman" w:cs="Times New Roman"/>
                <w:color w:val="000000"/>
                <w:sz w:val="24"/>
                <w:szCs w:val="24"/>
                <w:shd w:val="clear" w:color="auto" w:fill="FFFFFF"/>
              </w:rPr>
            </w:pPr>
            <w:r w:rsidRPr="008C7038">
              <w:rPr>
                <w:rFonts w:ascii="Times New Roman" w:hAnsi="Times New Roman" w:cs="Times New Roman"/>
                <w:color w:val="000000"/>
                <w:sz w:val="24"/>
                <w:szCs w:val="24"/>
                <w:shd w:val="clear" w:color="auto" w:fill="FFFFFF"/>
              </w:rPr>
              <w:t>Należy także zwrócić uwagę na pozytywny wpływ na logistykę papieru podlegającego archiwizacji</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gdzie normy w zakresie jego przechowywania są bardzo restrykcyjne (konieczność nakładów na specjalne pomieszczenia, ryzyko uszkodzeń i przebarwień).</w:t>
            </w:r>
          </w:p>
          <w:p w14:paraId="17056E92" w14:textId="77777777" w:rsidR="00550C86" w:rsidRPr="008C7038" w:rsidRDefault="00550C86" w:rsidP="00277F6C">
            <w:pPr>
              <w:spacing w:after="120"/>
              <w:ind w:right="159"/>
              <w:jc w:val="both"/>
              <w:rPr>
                <w:rFonts w:ascii="Times New Roman" w:hAnsi="Times New Roman" w:cs="Times New Roman"/>
                <w:spacing w:val="-2"/>
                <w:sz w:val="24"/>
                <w:szCs w:val="24"/>
              </w:rPr>
            </w:pPr>
            <w:r w:rsidRPr="008C7038">
              <w:rPr>
                <w:rFonts w:ascii="Times New Roman" w:hAnsi="Times New Roman" w:cs="Times New Roman"/>
                <w:sz w:val="24"/>
                <w:szCs w:val="24"/>
              </w:rPr>
              <w:t>Reasumując należy stwierdzić</w:t>
            </w:r>
            <w:r w:rsidR="00D728D1" w:rsidRPr="008C7038">
              <w:rPr>
                <w:rFonts w:ascii="Times New Roman" w:hAnsi="Times New Roman" w:cs="Times New Roman"/>
                <w:sz w:val="24"/>
                <w:szCs w:val="24"/>
              </w:rPr>
              <w:t>,</w:t>
            </w:r>
            <w:r w:rsidRPr="008C7038">
              <w:rPr>
                <w:rFonts w:ascii="Times New Roman" w:hAnsi="Times New Roman" w:cs="Times New Roman"/>
                <w:sz w:val="24"/>
                <w:szCs w:val="24"/>
              </w:rPr>
              <w:t xml:space="preserve"> że w ogólnym rozrachunku nastąpi zbilansowanie się </w:t>
            </w:r>
            <w:r w:rsidRPr="008C7038">
              <w:rPr>
                <w:rFonts w:ascii="Times New Roman" w:hAnsi="Times New Roman" w:cs="Times New Roman"/>
                <w:color w:val="000000"/>
                <w:sz w:val="24"/>
                <w:szCs w:val="24"/>
                <w:shd w:val="clear" w:color="auto" w:fill="FFFFFF"/>
              </w:rPr>
              <w:t>czynników pozytywnie wpływających na popyt kształtowany na rynku papierniczym z</w:t>
            </w:r>
            <w:r w:rsidR="008950C9" w:rsidRPr="008C7038">
              <w:rPr>
                <w:rFonts w:ascii="Times New Roman" w:hAnsi="Times New Roman" w:cs="Times New Roman"/>
                <w:color w:val="000000"/>
                <w:sz w:val="24"/>
                <w:szCs w:val="24"/>
                <w:shd w:val="clear" w:color="auto" w:fill="FFFFFF"/>
              </w:rPr>
              <w:t> </w:t>
            </w:r>
            <w:r w:rsidRPr="008C7038">
              <w:rPr>
                <w:rFonts w:ascii="Times New Roman" w:hAnsi="Times New Roman" w:cs="Times New Roman"/>
                <w:color w:val="000000"/>
                <w:sz w:val="24"/>
                <w:szCs w:val="24"/>
                <w:shd w:val="clear" w:color="auto" w:fill="FFFFFF"/>
              </w:rPr>
              <w:t xml:space="preserve"> czynnikami negatywnymi</w:t>
            </w:r>
            <w:r w:rsidR="00D728D1" w:rsidRPr="008C7038">
              <w:rPr>
                <w:rFonts w:ascii="Times New Roman" w:hAnsi="Times New Roman" w:cs="Times New Roman"/>
                <w:color w:val="000000"/>
                <w:sz w:val="24"/>
                <w:szCs w:val="24"/>
                <w:shd w:val="clear" w:color="auto" w:fill="FFFFFF"/>
              </w:rPr>
              <w:t>,</w:t>
            </w:r>
            <w:r w:rsidRPr="008C7038">
              <w:rPr>
                <w:rFonts w:ascii="Times New Roman" w:hAnsi="Times New Roman" w:cs="Times New Roman"/>
                <w:color w:val="000000"/>
                <w:sz w:val="24"/>
                <w:szCs w:val="24"/>
                <w:shd w:val="clear" w:color="auto" w:fill="FFFFFF"/>
              </w:rPr>
              <w:t xml:space="preserve"> w związku z tym projekt będzie miał marginalny wpływ na rozmiar tego rynku jak również skalę</w:t>
            </w:r>
            <w:r w:rsidR="008950C9" w:rsidRPr="008C7038">
              <w:rPr>
                <w:rFonts w:ascii="Times New Roman" w:hAnsi="Times New Roman" w:cs="Times New Roman"/>
                <w:color w:val="000000"/>
                <w:sz w:val="24"/>
                <w:szCs w:val="24"/>
                <w:shd w:val="clear" w:color="auto" w:fill="FFFFFF"/>
              </w:rPr>
              <w:t xml:space="preserve"> zachodzących w nim</w:t>
            </w:r>
            <w:r w:rsidRPr="008C7038">
              <w:rPr>
                <w:rFonts w:ascii="Times New Roman" w:hAnsi="Times New Roman" w:cs="Times New Roman"/>
                <w:color w:val="000000"/>
                <w:sz w:val="24"/>
                <w:szCs w:val="24"/>
                <w:shd w:val="clear" w:color="auto" w:fill="FFFFFF"/>
              </w:rPr>
              <w:t xml:space="preserve"> zmian.</w:t>
            </w:r>
          </w:p>
        </w:tc>
      </w:tr>
      <w:tr w:rsidR="003A6F7A" w:rsidRPr="008C7038" w14:paraId="22416A14" w14:textId="77777777" w:rsidTr="008C7038">
        <w:trPr>
          <w:gridAfter w:val="2"/>
          <w:wAfter w:w="124" w:type="dxa"/>
          <w:trHeight w:val="142"/>
        </w:trPr>
        <w:tc>
          <w:tcPr>
            <w:tcW w:w="10832" w:type="dxa"/>
            <w:gridSpan w:val="27"/>
            <w:shd w:val="clear" w:color="auto" w:fill="99CCFF"/>
          </w:tcPr>
          <w:p w14:paraId="402D3B1C" w14:textId="77777777" w:rsidR="003A6F7A" w:rsidRPr="008C7038" w:rsidRDefault="003A6F7A" w:rsidP="003A6F7A">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pacing w:val="-2"/>
                <w:sz w:val="24"/>
                <w:szCs w:val="24"/>
              </w:rPr>
              <w:lastRenderedPageBreak/>
              <w:t>Planowane wykonanie przepisów aktu prawnego</w:t>
            </w:r>
          </w:p>
        </w:tc>
      </w:tr>
      <w:tr w:rsidR="003A6F7A" w:rsidRPr="008C7038" w14:paraId="4029CFC1" w14:textId="77777777" w:rsidTr="008C7038">
        <w:trPr>
          <w:gridAfter w:val="2"/>
          <w:wAfter w:w="124" w:type="dxa"/>
          <w:trHeight w:val="142"/>
        </w:trPr>
        <w:tc>
          <w:tcPr>
            <w:tcW w:w="10832" w:type="dxa"/>
            <w:gridSpan w:val="27"/>
            <w:shd w:val="clear" w:color="auto" w:fill="FFFFFF"/>
          </w:tcPr>
          <w:p w14:paraId="0BC4AA85" w14:textId="77777777" w:rsidR="00A74F6A" w:rsidRDefault="00B15DFA" w:rsidP="00277F6C">
            <w:pPr>
              <w:spacing w:after="120"/>
              <w:ind w:left="62" w:right="159"/>
              <w:jc w:val="both"/>
              <w:rPr>
                <w:rFonts w:ascii="Times New Roman" w:hAnsi="Times New Roman" w:cs="Times New Roman"/>
                <w:sz w:val="24"/>
                <w:szCs w:val="24"/>
              </w:rPr>
            </w:pPr>
            <w:r w:rsidRPr="008C7038">
              <w:rPr>
                <w:rFonts w:ascii="Times New Roman" w:hAnsi="Times New Roman" w:cs="Times New Roman"/>
                <w:spacing w:val="-2"/>
                <w:sz w:val="24"/>
                <w:szCs w:val="24"/>
              </w:rPr>
              <w:t xml:space="preserve">Planowany termin wejścia w życie ustawy </w:t>
            </w:r>
            <w:r w:rsidR="00B77812" w:rsidRPr="008C7038">
              <w:rPr>
                <w:rFonts w:ascii="Times New Roman" w:hAnsi="Times New Roman" w:cs="Times New Roman"/>
                <w:spacing w:val="-2"/>
                <w:sz w:val="24"/>
                <w:szCs w:val="24"/>
              </w:rPr>
              <w:t xml:space="preserve">to </w:t>
            </w:r>
            <w:r w:rsidR="00F618E6" w:rsidRPr="008C7038">
              <w:rPr>
                <w:rFonts w:ascii="Times New Roman" w:hAnsi="Times New Roman" w:cs="Times New Roman"/>
                <w:spacing w:val="-2"/>
                <w:sz w:val="24"/>
                <w:szCs w:val="24"/>
              </w:rPr>
              <w:t>I</w:t>
            </w:r>
            <w:r w:rsidR="00692C34" w:rsidRPr="008C7038">
              <w:rPr>
                <w:rFonts w:ascii="Times New Roman" w:hAnsi="Times New Roman" w:cs="Times New Roman"/>
                <w:spacing w:val="-2"/>
                <w:sz w:val="24"/>
                <w:szCs w:val="24"/>
              </w:rPr>
              <w:t>V</w:t>
            </w:r>
            <w:r w:rsidR="00F618E6" w:rsidRPr="008C7038">
              <w:rPr>
                <w:rFonts w:ascii="Times New Roman" w:hAnsi="Times New Roman" w:cs="Times New Roman"/>
                <w:spacing w:val="-2"/>
                <w:sz w:val="24"/>
                <w:szCs w:val="24"/>
              </w:rPr>
              <w:t xml:space="preserve"> kwartał 20</w:t>
            </w:r>
            <w:r w:rsidR="00453925" w:rsidRPr="008C7038">
              <w:rPr>
                <w:rFonts w:ascii="Times New Roman" w:hAnsi="Times New Roman" w:cs="Times New Roman"/>
                <w:spacing w:val="-2"/>
                <w:sz w:val="24"/>
                <w:szCs w:val="24"/>
              </w:rPr>
              <w:t>20</w:t>
            </w:r>
            <w:r w:rsidR="00F618E6" w:rsidRPr="008C7038">
              <w:rPr>
                <w:rFonts w:ascii="Times New Roman" w:hAnsi="Times New Roman" w:cs="Times New Roman"/>
                <w:spacing w:val="-2"/>
                <w:sz w:val="24"/>
                <w:szCs w:val="24"/>
              </w:rPr>
              <w:t xml:space="preserve"> roku.</w:t>
            </w:r>
            <w:r w:rsidR="00A74F6A">
              <w:rPr>
                <w:rFonts w:ascii="Times New Roman" w:hAnsi="Times New Roman" w:cs="Times New Roman"/>
                <w:spacing w:val="-2"/>
                <w:sz w:val="24"/>
                <w:szCs w:val="24"/>
              </w:rPr>
              <w:t xml:space="preserve"> </w:t>
            </w:r>
            <w:r w:rsidR="003A6F7A" w:rsidRPr="008C7038">
              <w:rPr>
                <w:rFonts w:ascii="Times New Roman" w:hAnsi="Times New Roman" w:cs="Times New Roman"/>
                <w:spacing w:val="-2"/>
                <w:sz w:val="24"/>
                <w:szCs w:val="24"/>
              </w:rPr>
              <w:t xml:space="preserve">Wejście w </w:t>
            </w:r>
            <w:r w:rsidR="003A6F7A" w:rsidRPr="008C7038">
              <w:rPr>
                <w:rFonts w:ascii="Times New Roman" w:hAnsi="Times New Roman" w:cs="Times New Roman"/>
                <w:sz w:val="24"/>
                <w:szCs w:val="24"/>
              </w:rPr>
              <w:t>życie</w:t>
            </w:r>
            <w:r w:rsidR="003A6F7A" w:rsidRPr="008C7038">
              <w:rPr>
                <w:rFonts w:ascii="Times New Roman" w:hAnsi="Times New Roman" w:cs="Times New Roman"/>
                <w:spacing w:val="-2"/>
                <w:sz w:val="24"/>
                <w:szCs w:val="24"/>
              </w:rPr>
              <w:t xml:space="preserve"> ustawy stworzy ramy prawne dla opracowywanego </w:t>
            </w:r>
            <w:r w:rsidR="003A6F7A" w:rsidRPr="008C7038">
              <w:rPr>
                <w:rFonts w:ascii="Times New Roman" w:hAnsi="Times New Roman" w:cs="Times New Roman"/>
                <w:sz w:val="24"/>
                <w:szCs w:val="24"/>
              </w:rPr>
              <w:t>przez Ministerstwo Cyfryzacji standardu i narzędzia teleinformatycznego umożliwiającego skuteczne i przyjazne dla użytkowników doręczenia dokumentów w postaci elektronicznej oraz w postaci papierowej.</w:t>
            </w:r>
            <w:r w:rsidR="00A74F6A">
              <w:rPr>
                <w:rFonts w:ascii="Times New Roman" w:hAnsi="Times New Roman" w:cs="Times New Roman"/>
                <w:sz w:val="24"/>
                <w:szCs w:val="24"/>
              </w:rPr>
              <w:t xml:space="preserve"> </w:t>
            </w:r>
            <w:r w:rsidR="003A6F7A" w:rsidRPr="008C7038">
              <w:rPr>
                <w:rFonts w:ascii="Times New Roman" w:hAnsi="Times New Roman" w:cs="Times New Roman"/>
                <w:sz w:val="24"/>
                <w:szCs w:val="24"/>
              </w:rPr>
              <w:t xml:space="preserve">Minister Cyfryzacji i Minister Infrastruktury przewidują prowadzenie działań zmierzających do zwiększania świadomości społecznej w przedmiocie zmiany przepisów o doręczeniach, w tym poprzez udział pracowników Ministerstwa Cyfryzacji i Ministerstwa Infrastruktury w licznych konferencjach oraz przekazach prasowych. </w:t>
            </w:r>
          </w:p>
          <w:p w14:paraId="47A92CD5" w14:textId="041845EA" w:rsidR="003A6F7A" w:rsidRPr="008C7038" w:rsidRDefault="003A6F7A" w:rsidP="00277F6C">
            <w:pPr>
              <w:spacing w:after="120"/>
              <w:ind w:left="62" w:right="159"/>
              <w:jc w:val="both"/>
              <w:rPr>
                <w:rFonts w:ascii="Times New Roman" w:hAnsi="Times New Roman" w:cs="Times New Roman"/>
                <w:spacing w:val="-2"/>
                <w:sz w:val="24"/>
                <w:szCs w:val="24"/>
              </w:rPr>
            </w:pPr>
            <w:r w:rsidRPr="008C7038">
              <w:rPr>
                <w:rFonts w:ascii="Times New Roman" w:hAnsi="Times New Roman" w:cs="Times New Roman"/>
                <w:sz w:val="24"/>
                <w:szCs w:val="24"/>
              </w:rPr>
              <w:t>Ministerstwo Infrastruktury podejmie w szczególności działania informacyjne na temat istoty i korzyści z</w:t>
            </w:r>
            <w:r w:rsidR="00277F6C">
              <w:rPr>
                <w:rFonts w:ascii="Times New Roman" w:hAnsi="Times New Roman" w:cs="Times New Roman"/>
                <w:sz w:val="24"/>
                <w:szCs w:val="24"/>
              </w:rPr>
              <w:t> </w:t>
            </w:r>
            <w:r w:rsidRPr="008C7038">
              <w:rPr>
                <w:rFonts w:ascii="Times New Roman" w:hAnsi="Times New Roman" w:cs="Times New Roman"/>
                <w:sz w:val="24"/>
                <w:szCs w:val="24"/>
              </w:rPr>
              <w:t>zastosowania doręczenia w postaci hybrydowej.</w:t>
            </w:r>
          </w:p>
        </w:tc>
      </w:tr>
      <w:tr w:rsidR="003A6F7A" w:rsidRPr="008C7038" w14:paraId="5C67D8A1" w14:textId="77777777" w:rsidTr="008C7038">
        <w:trPr>
          <w:gridAfter w:val="2"/>
          <w:wAfter w:w="124" w:type="dxa"/>
          <w:trHeight w:val="142"/>
        </w:trPr>
        <w:tc>
          <w:tcPr>
            <w:tcW w:w="10832" w:type="dxa"/>
            <w:gridSpan w:val="27"/>
            <w:shd w:val="clear" w:color="auto" w:fill="99CCFF"/>
          </w:tcPr>
          <w:p w14:paraId="1F13F9EE" w14:textId="77777777" w:rsidR="003A6F7A" w:rsidRPr="008C7038" w:rsidRDefault="003A6F7A" w:rsidP="003A6F7A">
            <w:pPr>
              <w:numPr>
                <w:ilvl w:val="0"/>
                <w:numId w:val="1"/>
              </w:numPr>
              <w:spacing w:line="257" w:lineRule="auto"/>
              <w:ind w:left="318" w:hanging="284"/>
              <w:rPr>
                <w:rFonts w:ascii="Times New Roman" w:hAnsi="Times New Roman" w:cs="Times New Roman"/>
                <w:b/>
                <w:sz w:val="24"/>
                <w:szCs w:val="24"/>
              </w:rPr>
            </w:pPr>
            <w:r w:rsidRPr="008C7038">
              <w:rPr>
                <w:rFonts w:ascii="Times New Roman" w:hAnsi="Times New Roman" w:cs="Times New Roman"/>
                <w:b/>
                <w:sz w:val="24"/>
                <w:szCs w:val="24"/>
              </w:rPr>
              <w:t xml:space="preserve"> </w:t>
            </w:r>
            <w:r w:rsidRPr="008C7038">
              <w:rPr>
                <w:rFonts w:ascii="Times New Roman" w:hAnsi="Times New Roman" w:cs="Times New Roman"/>
                <w:b/>
                <w:spacing w:val="-2"/>
                <w:sz w:val="24"/>
                <w:szCs w:val="24"/>
              </w:rPr>
              <w:t>W jaki sposób i kiedy nastąpi ewaluacja efektów projektu oraz jakie mierniki zostaną zastosowane?</w:t>
            </w:r>
          </w:p>
        </w:tc>
      </w:tr>
      <w:tr w:rsidR="003A6F7A" w:rsidRPr="008C7038" w14:paraId="78896BB8" w14:textId="77777777" w:rsidTr="008C7038">
        <w:trPr>
          <w:gridAfter w:val="2"/>
          <w:wAfter w:w="124" w:type="dxa"/>
          <w:trHeight w:val="142"/>
        </w:trPr>
        <w:tc>
          <w:tcPr>
            <w:tcW w:w="10832" w:type="dxa"/>
            <w:gridSpan w:val="27"/>
            <w:shd w:val="clear" w:color="auto" w:fill="FFFFFF"/>
          </w:tcPr>
          <w:p w14:paraId="16EE8909" w14:textId="77777777" w:rsidR="003A6F7A" w:rsidRPr="008C7038" w:rsidRDefault="003A6F7A" w:rsidP="00277F6C">
            <w:pPr>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Ocena ex post nastąpi po 3 latach funkcjonowania przepisów – dokonana zostanie ocena:</w:t>
            </w:r>
          </w:p>
          <w:p w14:paraId="580BCB00" w14:textId="77777777" w:rsidR="003A6F7A" w:rsidRPr="008C7038" w:rsidRDefault="003A6F7A" w:rsidP="00277F6C">
            <w:pPr>
              <w:pStyle w:val="Akapitzlist"/>
              <w:numPr>
                <w:ilvl w:val="0"/>
                <w:numId w:val="3"/>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liczby podmiotów korzystających z </w:t>
            </w:r>
            <w:r w:rsidR="00B77812" w:rsidRPr="008C7038">
              <w:rPr>
                <w:rFonts w:ascii="Times New Roman" w:hAnsi="Times New Roman" w:cs="Times New Roman"/>
                <w:spacing w:val="-2"/>
                <w:sz w:val="24"/>
                <w:szCs w:val="24"/>
              </w:rPr>
              <w:t>publicznej usługi rejestrowanego doręczenia elektronicznego i publicznej usługi hybrydowej</w:t>
            </w:r>
            <w:r w:rsidRPr="008C7038">
              <w:rPr>
                <w:rFonts w:ascii="Times New Roman" w:hAnsi="Times New Roman" w:cs="Times New Roman"/>
                <w:spacing w:val="-2"/>
                <w:sz w:val="24"/>
                <w:szCs w:val="24"/>
              </w:rPr>
              <w:t>,</w:t>
            </w:r>
          </w:p>
          <w:p w14:paraId="5777A9B2" w14:textId="77777777" w:rsidR="003A6F7A" w:rsidRPr="008C7038" w:rsidRDefault="003A6F7A" w:rsidP="00277F6C">
            <w:pPr>
              <w:pStyle w:val="Akapitzlist"/>
              <w:numPr>
                <w:ilvl w:val="0"/>
                <w:numId w:val="3"/>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poziomu zadowolenia z usług,</w:t>
            </w:r>
          </w:p>
          <w:p w14:paraId="24B604AE" w14:textId="77777777" w:rsidR="003A6F7A" w:rsidRPr="008C7038" w:rsidRDefault="003A6F7A" w:rsidP="00277F6C">
            <w:pPr>
              <w:pStyle w:val="Akapitzlist"/>
              <w:numPr>
                <w:ilvl w:val="0"/>
                <w:numId w:val="3"/>
              </w:numPr>
              <w:spacing w:after="120"/>
              <w:ind w:left="346" w:hanging="284"/>
              <w:contextualSpacing w:val="0"/>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wpływu wprowadzenia do procedur rejestrowanego doręczenia elektronicznego i przesyłki hybrydowej na czas i koszt rozpatrywania spraw administracyjnych i sądowych.</w:t>
            </w:r>
          </w:p>
          <w:p w14:paraId="75DE5A14" w14:textId="77777777" w:rsidR="003A6F7A" w:rsidRPr="008C7038" w:rsidRDefault="003A6F7A" w:rsidP="00277F6C">
            <w:pPr>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Ocena zostanie dokonana m.in. na podstawie:</w:t>
            </w:r>
          </w:p>
          <w:p w14:paraId="6E32AD6B"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danych pochodzących z systemu teleinformatycznego, za pomocą którego będzie świadczona usługa rejestrowanego doręczenia elektronicznego,</w:t>
            </w:r>
          </w:p>
          <w:p w14:paraId="2933E153"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danych i informacji statystycznych uzyskanych od kwalifikowanych dostawców usług zaufania, </w:t>
            </w:r>
          </w:p>
          <w:p w14:paraId="465805F1"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danych pochodzących z badania GUS – Społeczeństwo Informacyjne,</w:t>
            </w:r>
          </w:p>
          <w:p w14:paraId="39E8D1C2"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 xml:space="preserve">ewentualnych badań opinii społecznej, </w:t>
            </w:r>
          </w:p>
          <w:p w14:paraId="33C3C5D6" w14:textId="77777777" w:rsidR="003A6F7A" w:rsidRPr="008C7038" w:rsidRDefault="003A6F7A" w:rsidP="00277F6C">
            <w:pPr>
              <w:pStyle w:val="Akapitzlist"/>
              <w:numPr>
                <w:ilvl w:val="0"/>
                <w:numId w:val="2"/>
              </w:numPr>
              <w:ind w:left="347" w:hanging="284"/>
              <w:jc w:val="both"/>
              <w:rPr>
                <w:rFonts w:ascii="Times New Roman" w:hAnsi="Times New Roman" w:cs="Times New Roman"/>
                <w:spacing w:val="-2"/>
                <w:sz w:val="24"/>
                <w:szCs w:val="24"/>
              </w:rPr>
            </w:pPr>
            <w:r w:rsidRPr="008C7038">
              <w:rPr>
                <w:rFonts w:ascii="Times New Roman" w:hAnsi="Times New Roman" w:cs="Times New Roman"/>
                <w:spacing w:val="-2"/>
                <w:sz w:val="24"/>
                <w:szCs w:val="24"/>
              </w:rPr>
              <w:t>danych i sygnałów pochodzących od podmiotów publicznych oraz organizacji reprezentujących przedsiębiorców.</w:t>
            </w:r>
          </w:p>
        </w:tc>
      </w:tr>
      <w:tr w:rsidR="003A6F7A" w:rsidRPr="008C7038" w14:paraId="6B094D89" w14:textId="77777777" w:rsidTr="008C7038">
        <w:trPr>
          <w:gridAfter w:val="2"/>
          <w:wAfter w:w="124" w:type="dxa"/>
          <w:trHeight w:val="142"/>
        </w:trPr>
        <w:tc>
          <w:tcPr>
            <w:tcW w:w="10832" w:type="dxa"/>
            <w:gridSpan w:val="27"/>
            <w:shd w:val="clear" w:color="auto" w:fill="99CCFF"/>
          </w:tcPr>
          <w:p w14:paraId="4AF66EE6" w14:textId="77777777" w:rsidR="003A6F7A" w:rsidRPr="008C7038" w:rsidRDefault="003A6F7A" w:rsidP="00277F6C">
            <w:pPr>
              <w:numPr>
                <w:ilvl w:val="0"/>
                <w:numId w:val="1"/>
              </w:numPr>
              <w:spacing w:line="257" w:lineRule="auto"/>
              <w:ind w:left="318" w:hanging="284"/>
              <w:jc w:val="both"/>
              <w:rPr>
                <w:rFonts w:ascii="Times New Roman" w:hAnsi="Times New Roman" w:cs="Times New Roman"/>
                <w:b/>
                <w:spacing w:val="-2"/>
                <w:sz w:val="24"/>
                <w:szCs w:val="24"/>
              </w:rPr>
            </w:pPr>
            <w:r w:rsidRPr="008C7038">
              <w:rPr>
                <w:rFonts w:ascii="Times New Roman" w:hAnsi="Times New Roman" w:cs="Times New Roman"/>
                <w:b/>
                <w:spacing w:val="-2"/>
                <w:sz w:val="24"/>
                <w:szCs w:val="24"/>
              </w:rPr>
              <w:t xml:space="preserve">Załączniki (istotne dokumenty źródłowe, badania, analizy, itp.) </w:t>
            </w:r>
          </w:p>
        </w:tc>
      </w:tr>
      <w:tr w:rsidR="003A6F7A" w:rsidRPr="008C7038" w14:paraId="0A88A7FB" w14:textId="77777777" w:rsidTr="008C7038">
        <w:trPr>
          <w:gridAfter w:val="2"/>
          <w:wAfter w:w="124" w:type="dxa"/>
          <w:trHeight w:val="142"/>
        </w:trPr>
        <w:tc>
          <w:tcPr>
            <w:tcW w:w="10832" w:type="dxa"/>
            <w:gridSpan w:val="27"/>
            <w:shd w:val="clear" w:color="auto" w:fill="FFFFFF"/>
          </w:tcPr>
          <w:p w14:paraId="5EF074C2"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1. Społeczeństwo informacyjne w Polsce w 2017 r., GUS 2017, https://stat.gov.pl/download/gfx/portalinformacyjny/pl/defaultaktualnosci/5497/2/7/1/spoleczenstwo_informacyjne_w_polsce_w_2017.pdf </w:t>
            </w:r>
          </w:p>
          <w:p w14:paraId="49BC1735"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2. Wpływ cyfryzacji na działanie urzędów administracji publicznej w Polsce w 2015 roku, MC 2015 r, https://mc.bip.gov.pl/fobjects/download/97393/raport-wplyw-cyfryzacji-na-dzialanie-urzedow-administracji-</w:t>
            </w:r>
            <w:r w:rsidRPr="008C7038">
              <w:rPr>
                <w:rFonts w:ascii="Times New Roman" w:hAnsi="Times New Roman" w:cs="Times New Roman"/>
                <w:sz w:val="24"/>
                <w:szCs w:val="24"/>
              </w:rPr>
              <w:lastRenderedPageBreak/>
              <w:t xml:space="preserve">publicznej-w-polsce-w-2015-r-pdf.html </w:t>
            </w:r>
          </w:p>
          <w:p w14:paraId="4FD33933"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 xml:space="preserve">3. Program Zintegrowanej Informatyzacji Państwa, MC, 2016 r. https://www.gov.pl/documents/31305/436699/program_zintegrowanej_informatyzacji_panstwa_1.pdf/4dbc647e-a6f5-3c66-576a-b3006163bb5a </w:t>
            </w:r>
          </w:p>
          <w:p w14:paraId="75463769" w14:textId="77777777" w:rsidR="00F765A9" w:rsidRPr="008C7038" w:rsidRDefault="00F765A9" w:rsidP="00277F6C">
            <w:pPr>
              <w:spacing w:line="257" w:lineRule="auto"/>
              <w:rPr>
                <w:rFonts w:ascii="Times New Roman" w:hAnsi="Times New Roman" w:cs="Times New Roman"/>
                <w:sz w:val="24"/>
                <w:szCs w:val="24"/>
              </w:rPr>
            </w:pPr>
            <w:r w:rsidRPr="008C7038">
              <w:rPr>
                <w:rFonts w:ascii="Times New Roman" w:hAnsi="Times New Roman" w:cs="Times New Roman"/>
                <w:sz w:val="24"/>
                <w:szCs w:val="24"/>
              </w:rPr>
              <w:t>4. eAdministracja w oczach internautów, MC 2016 r</w:t>
            </w:r>
            <w:r w:rsidR="004B011B" w:rsidRPr="008C7038">
              <w:rPr>
                <w:rFonts w:ascii="Times New Roman" w:hAnsi="Times New Roman" w:cs="Times New Roman"/>
                <w:sz w:val="24"/>
                <w:szCs w:val="24"/>
              </w:rPr>
              <w:t>.</w:t>
            </w:r>
            <w:r w:rsidRPr="008C7038">
              <w:rPr>
                <w:rFonts w:ascii="Times New Roman" w:hAnsi="Times New Roman" w:cs="Times New Roman"/>
                <w:sz w:val="24"/>
                <w:szCs w:val="24"/>
              </w:rPr>
              <w:t xml:space="preserve">, http://archiwum.mc.gov.pl/files/raport_pbs_mc_e_administracja_12.09.2016.pdf </w:t>
            </w:r>
          </w:p>
          <w:p w14:paraId="21C8A7D7" w14:textId="77777777" w:rsidR="00C54CED" w:rsidRPr="008C7038" w:rsidRDefault="00F765A9" w:rsidP="00277F6C">
            <w:pPr>
              <w:spacing w:line="257" w:lineRule="auto"/>
              <w:rPr>
                <w:rFonts w:ascii="Times New Roman" w:hAnsi="Times New Roman" w:cs="Times New Roman"/>
                <w:spacing w:val="-2"/>
                <w:sz w:val="24"/>
                <w:szCs w:val="24"/>
              </w:rPr>
            </w:pPr>
            <w:r w:rsidRPr="008C7038">
              <w:rPr>
                <w:rFonts w:ascii="Times New Roman" w:hAnsi="Times New Roman" w:cs="Times New Roman"/>
                <w:sz w:val="24"/>
                <w:szCs w:val="24"/>
              </w:rPr>
              <w:t>5</w:t>
            </w:r>
            <w:r w:rsidR="00C54CED" w:rsidRPr="008C7038">
              <w:rPr>
                <w:rFonts w:ascii="Times New Roman" w:hAnsi="Times New Roman" w:cs="Times New Roman"/>
                <w:sz w:val="24"/>
                <w:szCs w:val="24"/>
              </w:rPr>
              <w:t xml:space="preserve">. </w:t>
            </w:r>
            <w:r w:rsidR="00C54CED" w:rsidRPr="008C7038">
              <w:rPr>
                <w:rFonts w:ascii="Times New Roman" w:hAnsi="Times New Roman" w:cs="Times New Roman"/>
                <w:spacing w:val="-2"/>
                <w:sz w:val="24"/>
                <w:szCs w:val="24"/>
              </w:rPr>
              <w:t>Raport o stanie rynku pocztowego w 2017 r., UKE 2018r.,</w:t>
            </w:r>
          </w:p>
          <w:p w14:paraId="6DFC7E5D" w14:textId="66894789" w:rsidR="003A6F7A" w:rsidRPr="008C7038" w:rsidRDefault="00C54CED" w:rsidP="00277F6C">
            <w:pPr>
              <w:spacing w:line="257" w:lineRule="auto"/>
              <w:rPr>
                <w:rFonts w:ascii="Times New Roman" w:hAnsi="Times New Roman" w:cs="Times New Roman"/>
                <w:spacing w:val="-2"/>
                <w:sz w:val="24"/>
                <w:szCs w:val="24"/>
              </w:rPr>
            </w:pPr>
            <w:r w:rsidRPr="008C7038">
              <w:rPr>
                <w:rFonts w:ascii="Times New Roman" w:hAnsi="Times New Roman" w:cs="Times New Roman"/>
                <w:spacing w:val="-2"/>
                <w:sz w:val="24"/>
                <w:szCs w:val="24"/>
              </w:rPr>
              <w:t>https://uke.gov.pl/akt/raport-o-stanie-rynku-pocztowego-w-2017-roku,78.html</w:t>
            </w:r>
          </w:p>
        </w:tc>
      </w:tr>
    </w:tbl>
    <w:p w14:paraId="37A0F4C4" w14:textId="77777777" w:rsidR="006176ED" w:rsidRPr="008C7038" w:rsidRDefault="006176ED" w:rsidP="009626A9">
      <w:pPr>
        <w:pStyle w:val="Nagwek1"/>
        <w:spacing w:before="0" w:after="0" w:line="257" w:lineRule="auto"/>
        <w:rPr>
          <w:rFonts w:ascii="Times New Roman" w:hAnsi="Times New Roman" w:cs="Times New Roman"/>
          <w:sz w:val="24"/>
          <w:szCs w:val="24"/>
        </w:rPr>
      </w:pPr>
    </w:p>
    <w:sectPr w:rsidR="006176ED" w:rsidRPr="008C7038" w:rsidSect="00725DE7">
      <w:footerReference w:type="default" r:id="rId14"/>
      <w:pgSz w:w="11906" w:h="16838"/>
      <w:pgMar w:top="568" w:right="707" w:bottom="568" w:left="720" w:header="708" w:footer="2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58DB0" w16cid:durableId="1FDEEE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BECA" w14:textId="77777777" w:rsidR="00BF77A9" w:rsidRDefault="00BF77A9" w:rsidP="00044739">
      <w:r>
        <w:separator/>
      </w:r>
    </w:p>
  </w:endnote>
  <w:endnote w:type="continuationSeparator" w:id="0">
    <w:p w14:paraId="0D95FD46" w14:textId="77777777" w:rsidR="00BF77A9" w:rsidRDefault="00BF77A9" w:rsidP="00044739">
      <w:r>
        <w:continuationSeparator/>
      </w:r>
    </w:p>
  </w:endnote>
  <w:endnote w:type="continuationNotice" w:id="1">
    <w:p w14:paraId="108D2553" w14:textId="77777777" w:rsidR="00BF77A9" w:rsidRDefault="00BF7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22255"/>
      <w:docPartObj>
        <w:docPartGallery w:val="Page Numbers (Bottom of Page)"/>
        <w:docPartUnique/>
      </w:docPartObj>
    </w:sdtPr>
    <w:sdtEndPr>
      <w:rPr>
        <w:rFonts w:ascii="Times New Roman" w:hAnsi="Times New Roman" w:cs="Times New Roman"/>
      </w:rPr>
    </w:sdtEndPr>
    <w:sdtContent>
      <w:p w14:paraId="11914937" w14:textId="77777777" w:rsidR="00EA0061" w:rsidRPr="00EA0061" w:rsidRDefault="00EA0061">
        <w:pPr>
          <w:pStyle w:val="Stopka"/>
          <w:rPr>
            <w:rFonts w:ascii="Times New Roman" w:hAnsi="Times New Roman" w:cs="Times New Roman"/>
          </w:rPr>
        </w:pPr>
        <w:r w:rsidRPr="00EA0061">
          <w:rPr>
            <w:rFonts w:ascii="Times New Roman" w:hAnsi="Times New Roman" w:cs="Times New Roman"/>
          </w:rPr>
          <w:fldChar w:fldCharType="begin"/>
        </w:r>
        <w:r w:rsidRPr="00EA0061">
          <w:rPr>
            <w:rFonts w:ascii="Times New Roman" w:hAnsi="Times New Roman" w:cs="Times New Roman"/>
          </w:rPr>
          <w:instrText>PAGE   \* MERGEFORMAT</w:instrText>
        </w:r>
        <w:r w:rsidRPr="00EA0061">
          <w:rPr>
            <w:rFonts w:ascii="Times New Roman" w:hAnsi="Times New Roman" w:cs="Times New Roman"/>
          </w:rPr>
          <w:fldChar w:fldCharType="separate"/>
        </w:r>
        <w:r w:rsidR="000401C4">
          <w:rPr>
            <w:rFonts w:ascii="Times New Roman" w:hAnsi="Times New Roman" w:cs="Times New Roman"/>
            <w:noProof/>
          </w:rPr>
          <w:t>1</w:t>
        </w:r>
        <w:r w:rsidRPr="00EA0061">
          <w:rPr>
            <w:rFonts w:ascii="Times New Roman" w:hAnsi="Times New Roman" w:cs="Times New Roman"/>
            <w:noProof/>
          </w:rPr>
          <w:fldChar w:fldCharType="end"/>
        </w:r>
      </w:p>
    </w:sdtContent>
  </w:sdt>
  <w:p w14:paraId="0DB27DE1" w14:textId="77777777" w:rsidR="00EA0061" w:rsidRDefault="00EA00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0EE0" w14:textId="77777777" w:rsidR="00BF77A9" w:rsidRDefault="00BF77A9" w:rsidP="00044739">
      <w:r>
        <w:separator/>
      </w:r>
    </w:p>
  </w:footnote>
  <w:footnote w:type="continuationSeparator" w:id="0">
    <w:p w14:paraId="21F76F3E" w14:textId="77777777" w:rsidR="00BF77A9" w:rsidRDefault="00BF77A9" w:rsidP="00044739">
      <w:r>
        <w:continuationSeparator/>
      </w:r>
    </w:p>
  </w:footnote>
  <w:footnote w:type="continuationNotice" w:id="1">
    <w:p w14:paraId="5FC0759E" w14:textId="77777777" w:rsidR="00BF77A9" w:rsidRDefault="00BF77A9"/>
  </w:footnote>
  <w:footnote w:id="2">
    <w:p w14:paraId="2A97F465" w14:textId="77777777" w:rsidR="00EA0061" w:rsidRPr="00DD0E5F"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Społeczeństwo informacyjne w Polsce w 2017 r., GUS 2017</w:t>
      </w:r>
    </w:p>
  </w:footnote>
  <w:footnote w:id="3">
    <w:p w14:paraId="22878F00" w14:textId="77777777" w:rsidR="00EA0061" w:rsidRPr="00DD0E5F"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Wpływ cyfryzacji na działanie urzędów administracji publicznej w Polsce w 2015 roku, MC 2015 r.</w:t>
      </w:r>
    </w:p>
  </w:footnote>
  <w:footnote w:id="4">
    <w:p w14:paraId="4585B157" w14:textId="77777777" w:rsidR="00EA0061" w:rsidRPr="00DD0E5F"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np. Ustawa Kodeks postępowania administracyjnego z dnia 14 czerwca 1960 r.  Dz.U z dnia 8 czerwca 2017 poz. 1257, art. 39[1] §1-§1b, Ustawa Ordynacja podatkowa z dnia 29 sierpnia 1997 r, (Dz.U. z 2018 r. poz. 800, art. 144a)</w:t>
      </w:r>
    </w:p>
  </w:footnote>
  <w:footnote w:id="5">
    <w:p w14:paraId="34F1353E" w14:textId="77777777" w:rsidR="00EA0061" w:rsidRPr="008C7038" w:rsidRDefault="00EA0061" w:rsidP="001E2106">
      <w:pPr>
        <w:pStyle w:val="Tekstprzypisudolnego"/>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Silosowość w informatyzacji podmiotów publicznych rozumiana jest jako tworzenie rozwiązań rozproszonych organizacyjnie rozwiązujących separowane problemy, ale nie współpracujących ze sobą (Program Zintegrowanej Informatyzacji Państwa, MC, 2016</w:t>
      </w:r>
      <w:r w:rsidRPr="008C7038">
        <w:rPr>
          <w:rFonts w:ascii="Times New Roman" w:hAnsi="Times New Roman" w:cs="Times New Roman"/>
        </w:rPr>
        <w:t>, str. 14).</w:t>
      </w:r>
    </w:p>
  </w:footnote>
  <w:footnote w:id="6">
    <w:p w14:paraId="24944ED0" w14:textId="77777777" w:rsidR="00EA0061" w:rsidRPr="008C7038" w:rsidRDefault="00EA0061" w:rsidP="001E2106">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eAdministracja w oczach internautów, MC 2016 r</w:t>
      </w:r>
    </w:p>
  </w:footnote>
  <w:footnote w:id="7">
    <w:p w14:paraId="68A03962" w14:textId="77777777" w:rsidR="00EA0061" w:rsidRPr="008C7038" w:rsidRDefault="00EA0061" w:rsidP="001E2106">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Przez które rozumie się jednostkę sektora finansów publicznych w rozumieniu przepisów ustawy z dnia 27 sierpnia 2009 r. o finansach publicznych (Dz. U. z 2017 r. poz. 2077 oraz z 2018 r. poz. 62 i 1000) lub inną państwową jednostkę organizacyjną nieposiadającą osobowości prawnej a także inną osobę prawna, utworzoną w szczególnym celu zaspokajania potrzeb o charakterze powszechnym, niemających charakteru przemysłowego ani handlowego a także związek tych podmiotów, jeżeli podmioty, o których mowa w tym przepisie pojedynczo lub wspólnie, bezpośrednio albo pośrednio przez inny podmiot </w:t>
      </w:r>
    </w:p>
    <w:p w14:paraId="65C64ACD"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finansują je w ponad 50% lub </w:t>
      </w:r>
    </w:p>
    <w:p w14:paraId="03309163"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posiadają ponad połowę udziałów albo akcji, lub </w:t>
      </w:r>
    </w:p>
    <w:p w14:paraId="7946408D"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sprawują nadzór nad organem zarządzającym, lub </w:t>
      </w:r>
    </w:p>
    <w:p w14:paraId="17276D45" w14:textId="77777777" w:rsidR="00EA0061" w:rsidRPr="008C7038" w:rsidRDefault="00EA0061" w:rsidP="001E2106">
      <w:pPr>
        <w:pStyle w:val="Tekstprzypisudolnego"/>
        <w:rPr>
          <w:rFonts w:ascii="Times New Roman" w:hAnsi="Times New Roman" w:cs="Times New Roman"/>
        </w:rPr>
      </w:pPr>
      <w:r w:rsidRPr="008C7038">
        <w:rPr>
          <w:rFonts w:ascii="Times New Roman" w:hAnsi="Times New Roman" w:cs="Times New Roman"/>
        </w:rPr>
        <w:t xml:space="preserve">- mają prawo do powoływania ponad połowy składu organu nadzorczego lub zarządzającego; </w:t>
      </w:r>
    </w:p>
  </w:footnote>
  <w:footnote w:id="8">
    <w:p w14:paraId="5E97A6D6"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iCs/>
        </w:rPr>
        <w:t>Na mocy projektowanej ustawy Podmioty publiczne obowiązane będą do doręczania sobie wzajemnie korespondencji z wykorzystaniem publicznej usługi doręczenia elektronicznego przy użyciu elektronicznej skrzynki podawczej</w:t>
      </w:r>
    </w:p>
  </w:footnote>
  <w:footnote w:id="9">
    <w:p w14:paraId="7AE85779"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iCs/>
        </w:rPr>
        <w:t>Oznacza podmioty wpisane do rejestru przedsiębiorców w rozumieniu ustawy z dnia 20 sierpnia 1997 r. o Krajowym Rejestrze Sądowym</w:t>
      </w:r>
    </w:p>
  </w:footnote>
  <w:footnote w:id="10">
    <w:p w14:paraId="1B2830E8" w14:textId="2AA397BD"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iCs/>
        </w:rPr>
        <w:t>Na pewnym etapie prac przygotowawczych nazywany był Narodowym Operatorem Cyfrowym</w:t>
      </w:r>
    </w:p>
  </w:footnote>
  <w:footnote w:id="11">
    <w:p w14:paraId="3E70C733" w14:textId="77777777" w:rsidR="00EA0061" w:rsidRPr="008C7038" w:rsidRDefault="00EA0061" w:rsidP="007276DF">
      <w:pPr>
        <w:pStyle w:val="przypisdolny"/>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Strategia na rzecz Odpowiedzialnego rozwoju Warszawa 2017 do roku 2020 - z perspektywą do 2030 r., Poczta Polska jako filar rozwoju e-government str. 244</w:t>
      </w:r>
    </w:p>
  </w:footnote>
  <w:footnote w:id="12">
    <w:p w14:paraId="0796CE51" w14:textId="77777777" w:rsidR="00EA0061" w:rsidRPr="008C7038" w:rsidRDefault="00EA0061" w:rsidP="00C7135B">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Raport „Poczta Polska Narodowym Operatorem Cyfrowym i Logistycznym. Przegląd scenariuszy dalszego funkcjonowania pocztowego operatora wyznaczonego w dobie e-substytucji i e-administracji”.</w:t>
      </w:r>
    </w:p>
  </w:footnote>
  <w:footnote w:id="13">
    <w:p w14:paraId="3F75A449" w14:textId="77777777" w:rsidR="00EA0061" w:rsidRPr="00DD0E5F" w:rsidRDefault="00EA0061" w:rsidP="007A5449">
      <w:pPr>
        <w:pStyle w:val="przypisdolny"/>
        <w:rPr>
          <w:rFonts w:ascii="Times New Roman" w:hAnsi="Times New Roman" w:cs="Times New Roman"/>
        </w:rPr>
      </w:pPr>
      <w:r w:rsidRPr="00DD0E5F">
        <w:rPr>
          <w:rStyle w:val="Odwoanieprzypisudolnego"/>
          <w:rFonts w:ascii="Times New Roman" w:hAnsi="Times New Roman" w:cs="Times New Roman"/>
        </w:rPr>
        <w:footnoteRef/>
      </w:r>
      <w:r w:rsidRPr="00DD0E5F">
        <w:rPr>
          <w:rFonts w:ascii="Times New Roman" w:hAnsi="Times New Roman" w:cs="Times New Roman"/>
        </w:rPr>
        <w:t xml:space="preserve"> Model płatności opisany w punkcie 5 Oceny skutków regulacji</w:t>
      </w:r>
    </w:p>
  </w:footnote>
  <w:footnote w:id="14">
    <w:p w14:paraId="1F2C5A77" w14:textId="77777777" w:rsidR="00EA0061" w:rsidRPr="008C7038" w:rsidRDefault="00EA0061" w:rsidP="005C31D4">
      <w:pPr>
        <w:spacing w:line="257" w:lineRule="auto"/>
        <w:rPr>
          <w:rFonts w:ascii="Times New Roman" w:hAnsi="Times New Roman" w:cs="Times New Roman"/>
          <w:spacing w:val="-2"/>
          <w:sz w:val="20"/>
          <w:szCs w:val="20"/>
        </w:rPr>
      </w:pPr>
      <w:r w:rsidRPr="008C7038">
        <w:rPr>
          <w:rStyle w:val="Odwoanieprzypisudolnego"/>
          <w:rFonts w:ascii="Times New Roman" w:hAnsi="Times New Roman" w:cs="Times New Roman"/>
          <w:sz w:val="20"/>
          <w:szCs w:val="20"/>
        </w:rPr>
        <w:footnoteRef/>
      </w:r>
      <w:r w:rsidRPr="008C7038">
        <w:rPr>
          <w:rFonts w:ascii="Times New Roman" w:hAnsi="Times New Roman" w:cs="Times New Roman"/>
          <w:sz w:val="20"/>
          <w:szCs w:val="20"/>
        </w:rPr>
        <w:t xml:space="preserve"> </w:t>
      </w:r>
      <w:r w:rsidRPr="008C7038">
        <w:rPr>
          <w:rFonts w:ascii="Times New Roman" w:hAnsi="Times New Roman" w:cs="Times New Roman"/>
          <w:spacing w:val="-2"/>
          <w:sz w:val="20"/>
          <w:szCs w:val="20"/>
        </w:rPr>
        <w:t>Raport o stanie rynku pocztowego w 2017 r.https://uke.gov.pl/akt/raport-o-stanie-rynku-pocztowego-w-2017-roku,78.html</w:t>
      </w:r>
    </w:p>
  </w:footnote>
  <w:footnote w:id="15">
    <w:p w14:paraId="039747D3"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Na podstawie sprawozdań z prowadzonej działalności pocztowej w roku 2017 przekazanych przez operatorów pocztowych do Urzędu Komunikacji Elektronicznej</w:t>
      </w:r>
    </w:p>
  </w:footnote>
  <w:footnote w:id="16">
    <w:p w14:paraId="5DAB0CCB"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Wycena ekspercka Centralnego Ośrodka Informatyki zakładająca zakończanie prac wdrożeniowych w 2021 roku.</w:t>
      </w:r>
    </w:p>
  </w:footnote>
  <w:footnote w:id="17">
    <w:p w14:paraId="0616A8DB" w14:textId="77777777" w:rsidR="00EA0061" w:rsidRDefault="00EA0061" w:rsidP="00C04618">
      <w:pPr>
        <w:pStyle w:val="Tekstprzypisudolnego"/>
        <w:jc w:val="both"/>
      </w:pPr>
      <w:r>
        <w:rPr>
          <w:rStyle w:val="Odwoanieprzypisudolnego"/>
        </w:rPr>
        <w:footnoteRef/>
      </w:r>
      <w:r>
        <w:t xml:space="preserve"> Oszacowano na bazie wolumenów planowanych do nadania przez podmioty publiczne, współczynnika deklaracji cyfrowości w 2025 roku (na poziomie 30%) oraz zakładanej średniej ceny dla podmiotów publicznych.</w:t>
      </w:r>
    </w:p>
  </w:footnote>
  <w:footnote w:id="18">
    <w:p w14:paraId="2E589C9F" w14:textId="77777777" w:rsidR="00EA0061" w:rsidRPr="007A1A74" w:rsidRDefault="00EA0061">
      <w:pPr>
        <w:pStyle w:val="Tekstprzypisudolnego"/>
        <w:rPr>
          <w:rFonts w:ascii="Times New Roman" w:hAnsi="Times New Roman" w:cs="Times New Roman"/>
        </w:rPr>
      </w:pPr>
      <w:r w:rsidRPr="007A1A74">
        <w:rPr>
          <w:rStyle w:val="Odwoanieprzypisudolnego"/>
          <w:rFonts w:ascii="Times New Roman" w:hAnsi="Times New Roman" w:cs="Times New Roman"/>
        </w:rPr>
        <w:footnoteRef/>
      </w:r>
      <w:r w:rsidRPr="007A1A74">
        <w:rPr>
          <w:rFonts w:ascii="Times New Roman" w:hAnsi="Times New Roman" w:cs="Times New Roman"/>
        </w:rPr>
        <w:t xml:space="preserve"> Dane za GUS</w:t>
      </w:r>
    </w:p>
  </w:footnote>
  <w:footnote w:id="19">
    <w:p w14:paraId="187D490B" w14:textId="77777777" w:rsidR="00EA0061" w:rsidRPr="007A1A74" w:rsidRDefault="00EA0061">
      <w:pPr>
        <w:pStyle w:val="Tekstprzypisudolnego"/>
        <w:rPr>
          <w:rFonts w:ascii="Times New Roman" w:hAnsi="Times New Roman" w:cs="Times New Roman"/>
        </w:rPr>
      </w:pPr>
      <w:r w:rsidRPr="007A1A74">
        <w:rPr>
          <w:rStyle w:val="Odwoanieprzypisudolnego"/>
          <w:rFonts w:ascii="Times New Roman" w:hAnsi="Times New Roman" w:cs="Times New Roman"/>
        </w:rPr>
        <w:footnoteRef/>
      </w:r>
      <w:r w:rsidRPr="007A1A74">
        <w:rPr>
          <w:rFonts w:ascii="Times New Roman" w:hAnsi="Times New Roman" w:cs="Times New Roman"/>
        </w:rPr>
        <w:t xml:space="preserve"> 119000000 przesyłek x (5 gr za stronę x 10 stron + 10 groszy za kopertę +10 minut x 45 gr/minutę pracy)</w:t>
      </w:r>
    </w:p>
  </w:footnote>
  <w:footnote w:id="20">
    <w:p w14:paraId="44832EF4" w14:textId="2A24D752" w:rsidR="00EA0061" w:rsidRPr="007A1A74" w:rsidRDefault="00EA0061" w:rsidP="007A1A74">
      <w:pPr>
        <w:rPr>
          <w:rFonts w:ascii="Times New Roman" w:hAnsi="Times New Roman" w:cs="Times New Roman"/>
        </w:rPr>
      </w:pPr>
      <w:r w:rsidRPr="007A1A74">
        <w:rPr>
          <w:rStyle w:val="Odwoanieprzypisudolnego"/>
          <w:rFonts w:ascii="Times New Roman" w:hAnsi="Times New Roman" w:cs="Times New Roman"/>
          <w:sz w:val="20"/>
          <w:szCs w:val="20"/>
        </w:rPr>
        <w:footnoteRef/>
      </w:r>
      <w:r w:rsidRPr="007A1A74">
        <w:rPr>
          <w:rFonts w:ascii="Times New Roman" w:hAnsi="Times New Roman" w:cs="Times New Roman"/>
          <w:sz w:val="20"/>
          <w:szCs w:val="20"/>
        </w:rPr>
        <w:t xml:space="preserve"> Wartość zmiany przychodów Poczty Polskiej wynikających ze scenariusza realizacji usługi z udziałem Poczty Polskiej S.A. nie może zostać zaprezentowana z uwagi na: a) trwające uzgodnienia koncepcji pobierania opłat za usługę i ew. subwencji (Model Finansowy został przedstawiony w Rozdziale 6 w pkt 5 OSR) b) szczegółowe wartości przychodów i kosztów  związanych z usługą e-doręczenia w formie elektronicznej i hybrydowej są objęte tajemnicą przedsiębiorstwa Poczta Polska.</w:t>
      </w:r>
    </w:p>
  </w:footnote>
  <w:footnote w:id="21">
    <w:p w14:paraId="77AD0ECB" w14:textId="77777777" w:rsidR="00EA0061" w:rsidRPr="007A1A74" w:rsidRDefault="00EA0061" w:rsidP="00C7135B">
      <w:pPr>
        <w:rPr>
          <w:rFonts w:ascii="Times New Roman" w:hAnsi="Times New Roman" w:cs="Times New Roman"/>
          <w:sz w:val="20"/>
          <w:szCs w:val="20"/>
        </w:rPr>
      </w:pPr>
      <w:r w:rsidRPr="007A1A74">
        <w:rPr>
          <w:rStyle w:val="Odwoanieprzypisudolnego"/>
          <w:rFonts w:ascii="Times New Roman" w:hAnsi="Times New Roman" w:cs="Times New Roman"/>
          <w:sz w:val="20"/>
          <w:szCs w:val="20"/>
        </w:rPr>
        <w:footnoteRef/>
      </w:r>
      <w:r w:rsidRPr="007A1A74">
        <w:rPr>
          <w:rFonts w:ascii="Times New Roman" w:hAnsi="Times New Roman" w:cs="Times New Roman"/>
          <w:sz w:val="20"/>
          <w:szCs w:val="20"/>
        </w:rPr>
        <w:t xml:space="preserve"> Zaprezentowane wyliczenie pokazuje skutek </w:t>
      </w:r>
      <w:r w:rsidRPr="007A1A74">
        <w:rPr>
          <w:rFonts w:ascii="Times New Roman" w:eastAsia="Times New Roman" w:hAnsi="Times New Roman" w:cs="Times New Roman"/>
          <w:color w:val="000000"/>
          <w:sz w:val="20"/>
          <w:szCs w:val="20"/>
          <w:lang w:eastAsia="pl-PL"/>
        </w:rPr>
        <w:t>potencjalnej straty Poczty Polskiej z tytułu migracji przesyłek poczto</w:t>
      </w:r>
      <w:r w:rsidRPr="007A1A74">
        <w:rPr>
          <w:rFonts w:ascii="Times New Roman" w:hAnsi="Times New Roman" w:cs="Times New Roman"/>
          <w:color w:val="000000"/>
          <w:sz w:val="20"/>
          <w:szCs w:val="20"/>
        </w:rPr>
        <w:t xml:space="preserve">wych do kanału elektronicznego </w:t>
      </w:r>
      <w:r w:rsidRPr="007A1A74">
        <w:rPr>
          <w:rFonts w:ascii="Times New Roman" w:eastAsia="Times New Roman" w:hAnsi="Times New Roman" w:cs="Times New Roman"/>
          <w:color w:val="000000"/>
          <w:sz w:val="20"/>
          <w:szCs w:val="20"/>
          <w:lang w:eastAsia="pl-PL"/>
        </w:rPr>
        <w:t>w przypadku braku uczestnict</w:t>
      </w:r>
      <w:r w:rsidRPr="007A1A74">
        <w:rPr>
          <w:rFonts w:ascii="Times New Roman" w:hAnsi="Times New Roman" w:cs="Times New Roman"/>
          <w:color w:val="000000"/>
          <w:sz w:val="20"/>
          <w:szCs w:val="20"/>
        </w:rPr>
        <w:t xml:space="preserve">wa Poczty Polskiej w realizacji usługi eDoręczenie. W wyliczeniu uwzględniono: 1) szacowany </w:t>
      </w:r>
      <w:r w:rsidRPr="007A1A74">
        <w:rPr>
          <w:rFonts w:ascii="Times New Roman" w:eastAsia="Times New Roman" w:hAnsi="Times New Roman" w:cs="Times New Roman"/>
          <w:color w:val="000000"/>
          <w:sz w:val="20"/>
          <w:szCs w:val="20"/>
          <w:lang w:eastAsia="pl-PL"/>
        </w:rPr>
        <w:t>wolumen przesyłek poleconych krajowych nadawanych przez jednostki administracji</w:t>
      </w:r>
      <w:r w:rsidRPr="007A1A74">
        <w:rPr>
          <w:rFonts w:ascii="Times New Roman" w:hAnsi="Times New Roman" w:cs="Times New Roman"/>
          <w:color w:val="000000"/>
          <w:sz w:val="20"/>
          <w:szCs w:val="20"/>
        </w:rPr>
        <w:t>,</w:t>
      </w:r>
      <w:r w:rsidRPr="007A1A74">
        <w:rPr>
          <w:rFonts w:ascii="Times New Roman" w:eastAsia="Times New Roman" w:hAnsi="Times New Roman" w:cs="Times New Roman"/>
          <w:color w:val="000000"/>
          <w:sz w:val="20"/>
          <w:szCs w:val="20"/>
          <w:lang w:eastAsia="pl-PL"/>
        </w:rPr>
        <w:t xml:space="preserve"> 2) założenia strategiczne PP na lata 2018-2022, 3) założonego tempa przechodzenia Klientów na nadania elektroniczne, określonego na podstawie dotychczasowych doświadczeń z wdrażaniem zmian informatycznych w jednostkach administracji (zakłada się 9% e-substytucji w okresie początkowym oraz stopniowy wzrost wskaźnika do 70% wolumenu przesyłek przekonwertowanych na kanał elektroniczny w 5 roku funkcjonowania</w:t>
      </w:r>
      <w:r w:rsidRPr="007A1A74">
        <w:rPr>
          <w:rFonts w:ascii="Times New Roman" w:hAnsi="Times New Roman" w:cs="Times New Roman"/>
          <w:color w:val="000000"/>
          <w:sz w:val="20"/>
          <w:szCs w:val="20"/>
        </w:rPr>
        <w:t>.</w:t>
      </w:r>
      <w:r w:rsidRPr="007A1A74">
        <w:rPr>
          <w:rFonts w:ascii="Times New Roman" w:eastAsia="Times New Roman" w:hAnsi="Times New Roman" w:cs="Times New Roman"/>
          <w:color w:val="000000"/>
          <w:sz w:val="20"/>
          <w:szCs w:val="20"/>
          <w:lang w:eastAsia="pl-PL"/>
        </w:rPr>
        <w:t xml:space="preserve"> </w:t>
      </w:r>
    </w:p>
    <w:p w14:paraId="451D7EE0" w14:textId="77777777" w:rsidR="00EA0061" w:rsidRPr="007A1A74" w:rsidRDefault="00EA0061" w:rsidP="00C7135B">
      <w:pPr>
        <w:rPr>
          <w:rFonts w:ascii="Times New Roman" w:hAnsi="Times New Roman" w:cs="Times New Roman"/>
          <w:sz w:val="20"/>
          <w:szCs w:val="20"/>
        </w:rPr>
      </w:pPr>
      <w:r w:rsidRPr="007A1A74">
        <w:rPr>
          <w:rFonts w:ascii="Times New Roman" w:hAnsi="Times New Roman" w:cs="Times New Roman"/>
          <w:sz w:val="20"/>
          <w:szCs w:val="20"/>
        </w:rPr>
        <w:t xml:space="preserve">Szacowane wolumeny przesyłek listowych poleconych nadawanych przez jednostki administracji publicznej pomnożono przez średnią cenę jednostkową netto usług. Na otrzymane przychody nałożony został wskaźnik spadku z tytułu esubstytucji: w 1 roku świadczenia usługi przyjęto 9% poziom esubstytucji, w 5 roku 70% poziom esubstytucji w przesyłkach tradycyjnych ( wzór: wolumen x średnia c.j. x %spadek=szacowana strata w danym roku). </w:t>
      </w:r>
    </w:p>
    <w:p w14:paraId="6CFBC5E3" w14:textId="45ED767C" w:rsidR="00EA0061" w:rsidRPr="007A1A74" w:rsidRDefault="00EA0061" w:rsidP="007A1A74">
      <w:pPr>
        <w:rPr>
          <w:rFonts w:ascii="Times New Roman" w:hAnsi="Times New Roman" w:cs="Times New Roman"/>
        </w:rPr>
      </w:pPr>
      <w:r w:rsidRPr="007A1A74">
        <w:rPr>
          <w:rFonts w:ascii="Times New Roman" w:hAnsi="Times New Roman" w:cs="Times New Roman"/>
          <w:sz w:val="20"/>
          <w:szCs w:val="20"/>
        </w:rPr>
        <w:t>W przypadku braku uczestnictwa Poczty Polskiej przy realizacji projektu nie wystąpią koszty związane z wdrożeniem i utrzymaniem projektu. Nie wystąpią również przychody pochodzące z realizacji usługi eDoreczenia oraz publicznej usługi hybrydowej, które kompensowałyby koszty i utratę przychodów z doręczeń korespondencji w formie papierowej.</w:t>
      </w:r>
    </w:p>
  </w:footnote>
  <w:footnote w:id="22">
    <w:p w14:paraId="11E398D1" w14:textId="77777777" w:rsidR="00EA0061" w:rsidRPr="007A1A74" w:rsidRDefault="00EA0061" w:rsidP="00C7135B">
      <w:pPr>
        <w:rPr>
          <w:rFonts w:ascii="Times New Roman" w:hAnsi="Times New Roman" w:cs="Times New Roman"/>
          <w:sz w:val="20"/>
          <w:szCs w:val="20"/>
        </w:rPr>
      </w:pPr>
      <w:r w:rsidRPr="007A1A74">
        <w:rPr>
          <w:rStyle w:val="Odwoanieprzypisudolnego"/>
          <w:rFonts w:ascii="Times New Roman" w:hAnsi="Times New Roman" w:cs="Times New Roman"/>
          <w:sz w:val="20"/>
          <w:szCs w:val="20"/>
        </w:rPr>
        <w:footnoteRef/>
      </w:r>
      <w:r w:rsidRPr="007A1A74">
        <w:rPr>
          <w:rFonts w:ascii="Times New Roman" w:hAnsi="Times New Roman" w:cs="Times New Roman"/>
          <w:sz w:val="20"/>
          <w:szCs w:val="20"/>
        </w:rPr>
        <w:t xml:space="preserve"> Oszacowanie skutków wdrożenia po 5 roku jest obecnie niemożliwe ze względu na brak możliwości przewidzenia zainteresowania osób fizycznych korzystaniem z usługi eDoręczenia, a z uwagi na fakt, że Strategia Poczty Polskiej S.A. obejmuje okres 5 lat, Największy wpływ finansowy wprowadzenia ustawy nastąpi w okresie dostosowawczym, który będzie cechował się stopniowym zmniejszaniem udziału przesyłek hybrydowych w obiegu korespondencji</w:t>
      </w:r>
    </w:p>
    <w:p w14:paraId="636A4D6F" w14:textId="77777777" w:rsidR="00EA0061" w:rsidRPr="007A1A74" w:rsidRDefault="00EA0061" w:rsidP="00C7135B">
      <w:pPr>
        <w:pStyle w:val="Tekstprzypisudolnego"/>
        <w:rPr>
          <w:rFonts w:ascii="Times New Roman" w:hAnsi="Times New Roman" w:cs="Times New Roman"/>
          <w:sz w:val="18"/>
          <w:szCs w:val="18"/>
        </w:rPr>
      </w:pPr>
    </w:p>
  </w:footnote>
  <w:footnote w:id="23">
    <w:p w14:paraId="00298E6B"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Na podstawie sprawozdań z prowadzonej działalności pocztowej w roku 2017 przekazanych przez operatorów pocztowych do Urzędu Komunikacji Elektronicznej</w:t>
      </w:r>
    </w:p>
  </w:footnote>
  <w:footnote w:id="24">
    <w:p w14:paraId="55495259"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Na podstawie sprawozdań z prowadzonej działalności pocztowej w roku 2017 przekazanych przez operatorów pocztowych do Urzędu Komunikacji Elektronicznej</w:t>
      </w:r>
    </w:p>
  </w:footnote>
  <w:footnote w:id="25">
    <w:p w14:paraId="78E8F201" w14:textId="77777777" w:rsidR="00EA0061" w:rsidRPr="008C7038" w:rsidRDefault="00EA0061">
      <w:pPr>
        <w:pStyle w:val="Tekstprzypisudolnego"/>
        <w:rPr>
          <w:rFonts w:ascii="Times New Roman" w:hAnsi="Times New Roman" w:cs="Times New Roman"/>
        </w:rPr>
      </w:pPr>
      <w:r w:rsidRPr="008C7038">
        <w:rPr>
          <w:rStyle w:val="Odwoanieprzypisudolnego"/>
          <w:rFonts w:ascii="Times New Roman" w:hAnsi="Times New Roman" w:cs="Times New Roman"/>
        </w:rPr>
        <w:footnoteRef/>
      </w:r>
      <w:r w:rsidRPr="008C7038">
        <w:rPr>
          <w:rFonts w:ascii="Times New Roman" w:hAnsi="Times New Roman" w:cs="Times New Roman"/>
        </w:rPr>
        <w:t xml:space="preserve"> </w:t>
      </w:r>
      <w:r w:rsidRPr="008C7038">
        <w:rPr>
          <w:rFonts w:ascii="Times New Roman" w:hAnsi="Times New Roman" w:cs="Times New Roman"/>
          <w:spacing w:val="-2"/>
        </w:rPr>
        <w:t xml:space="preserve">Raport o stanie rynku pocztowego w 2017 r. </w:t>
      </w:r>
      <w:r w:rsidRPr="008C7038">
        <w:rPr>
          <w:rFonts w:ascii="Times New Roman" w:hAnsi="Times New Roman" w:cs="Times New Roman"/>
        </w:rPr>
        <w:t>http://uke.gov.pl/akt/raport-o-stanie-rynku-pocztowego-w-2017-roku,78.html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FFA"/>
    <w:multiLevelType w:val="hybridMultilevel"/>
    <w:tmpl w:val="12664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440109"/>
    <w:multiLevelType w:val="hybridMultilevel"/>
    <w:tmpl w:val="C1C06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E4ECB"/>
    <w:multiLevelType w:val="hybridMultilevel"/>
    <w:tmpl w:val="25DE1C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1B125B"/>
    <w:multiLevelType w:val="hybridMultilevel"/>
    <w:tmpl w:val="CB0E947C"/>
    <w:lvl w:ilvl="0" w:tplc="024089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0226DB"/>
    <w:multiLevelType w:val="hybridMultilevel"/>
    <w:tmpl w:val="6CC43768"/>
    <w:lvl w:ilvl="0" w:tplc="0AEA300A">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06241"/>
    <w:multiLevelType w:val="hybridMultilevel"/>
    <w:tmpl w:val="7646E2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06E5A2E"/>
    <w:multiLevelType w:val="hybridMultilevel"/>
    <w:tmpl w:val="34A4C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B001C"/>
    <w:multiLevelType w:val="hybridMultilevel"/>
    <w:tmpl w:val="B1045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1D4832"/>
    <w:multiLevelType w:val="hybridMultilevel"/>
    <w:tmpl w:val="F542A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1E41C0"/>
    <w:multiLevelType w:val="hybridMultilevel"/>
    <w:tmpl w:val="2BB2B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196887"/>
    <w:multiLevelType w:val="hybridMultilevel"/>
    <w:tmpl w:val="F3F0E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7C303D"/>
    <w:multiLevelType w:val="hybridMultilevel"/>
    <w:tmpl w:val="BA841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2A41E7"/>
    <w:multiLevelType w:val="hybridMultilevel"/>
    <w:tmpl w:val="CB8A0E84"/>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D15101"/>
    <w:multiLevelType w:val="hybridMultilevel"/>
    <w:tmpl w:val="D14E25C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287D64"/>
    <w:multiLevelType w:val="hybridMultilevel"/>
    <w:tmpl w:val="D49274E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3663D0"/>
    <w:multiLevelType w:val="hybridMultilevel"/>
    <w:tmpl w:val="27486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8C3E97"/>
    <w:multiLevelType w:val="hybridMultilevel"/>
    <w:tmpl w:val="F31E64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960AEF"/>
    <w:multiLevelType w:val="hybridMultilevel"/>
    <w:tmpl w:val="5E7ACC1A"/>
    <w:lvl w:ilvl="0" w:tplc="9B76835E">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1637C72"/>
    <w:multiLevelType w:val="hybridMultilevel"/>
    <w:tmpl w:val="A73C2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C70BCA"/>
    <w:multiLevelType w:val="hybridMultilevel"/>
    <w:tmpl w:val="F1144584"/>
    <w:lvl w:ilvl="0" w:tplc="2124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5429A2"/>
    <w:multiLevelType w:val="hybridMultilevel"/>
    <w:tmpl w:val="E1CE4440"/>
    <w:lvl w:ilvl="0" w:tplc="0240899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064EA6"/>
    <w:multiLevelType w:val="hybridMultilevel"/>
    <w:tmpl w:val="DB54DAF6"/>
    <w:lvl w:ilvl="0" w:tplc="2124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5438A8"/>
    <w:multiLevelType w:val="hybridMultilevel"/>
    <w:tmpl w:val="A382430A"/>
    <w:lvl w:ilvl="0" w:tplc="2124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B16F46"/>
    <w:multiLevelType w:val="hybridMultilevel"/>
    <w:tmpl w:val="B77E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9A1F24"/>
    <w:multiLevelType w:val="hybridMultilevel"/>
    <w:tmpl w:val="C2D29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0A3564"/>
    <w:multiLevelType w:val="hybridMultilevel"/>
    <w:tmpl w:val="16284B24"/>
    <w:lvl w:ilvl="0" w:tplc="DC6A7CB8">
      <w:start w:val="1"/>
      <w:numFmt w:val="upperLetter"/>
      <w:lvlText w:val="%1."/>
      <w:lvlJc w:val="left"/>
      <w:pPr>
        <w:ind w:left="1131" w:hanging="360"/>
      </w:pPr>
      <w:rPr>
        <w:rFonts w:hint="default"/>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6">
    <w:nsid w:val="67933709"/>
    <w:multiLevelType w:val="hybridMultilevel"/>
    <w:tmpl w:val="1DF0C6C4"/>
    <w:lvl w:ilvl="0" w:tplc="0415000F">
      <w:start w:val="1"/>
      <w:numFmt w:val="decimal"/>
      <w:lvlText w:val="%1."/>
      <w:lvlJc w:val="left"/>
      <w:pPr>
        <w:ind w:left="720" w:hanging="360"/>
      </w:pPr>
      <w:rPr>
        <w:rFonts w:hint="default"/>
      </w:rPr>
    </w:lvl>
    <w:lvl w:ilvl="1" w:tplc="DF3E03C8">
      <w:start w:val="1"/>
      <w:numFmt w:val="decimal"/>
      <w:lvlText w:val="%2)"/>
      <w:lvlJc w:val="left"/>
      <w:pPr>
        <w:ind w:left="1725" w:hanging="64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D04E12"/>
    <w:multiLevelType w:val="hybridMultilevel"/>
    <w:tmpl w:val="AEEC05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41102D"/>
    <w:multiLevelType w:val="hybridMultilevel"/>
    <w:tmpl w:val="DE4EF554"/>
    <w:lvl w:ilvl="0" w:tplc="ED02219C">
      <w:start w:val="1"/>
      <w:numFmt w:val="upperLetter"/>
      <w:lvlText w:val="%1."/>
      <w:lvlJc w:val="left"/>
      <w:pPr>
        <w:ind w:left="1131" w:hanging="360"/>
      </w:pPr>
      <w:rPr>
        <w:rFonts w:hint="default"/>
      </w:r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9">
    <w:nsid w:val="74663E5C"/>
    <w:multiLevelType w:val="multilevel"/>
    <w:tmpl w:val="0D2E2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5D1120F"/>
    <w:multiLevelType w:val="hybridMultilevel"/>
    <w:tmpl w:val="FBA80B5A"/>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nsid w:val="7CDA14BA"/>
    <w:multiLevelType w:val="hybridMultilevel"/>
    <w:tmpl w:val="B77E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10220D"/>
    <w:multiLevelType w:val="hybridMultilevel"/>
    <w:tmpl w:val="FA80B77E"/>
    <w:lvl w:ilvl="0" w:tplc="FF5892AC">
      <w:start w:val="1"/>
      <w:numFmt w:val="bullet"/>
      <w:lvlText w:val="-"/>
      <w:lvlJc w:val="left"/>
      <w:pPr>
        <w:tabs>
          <w:tab w:val="num" w:pos="720"/>
        </w:tabs>
        <w:ind w:left="720" w:hanging="360"/>
      </w:pPr>
      <w:rPr>
        <w:rFonts w:ascii="Times New Roman" w:hAnsi="Times New Roman" w:cs="Times New Roman" w:hint="default"/>
      </w:rPr>
    </w:lvl>
    <w:lvl w:ilvl="1" w:tplc="A91AF6D2" w:tentative="1">
      <w:start w:val="1"/>
      <w:numFmt w:val="bullet"/>
      <w:lvlText w:val=""/>
      <w:lvlJc w:val="left"/>
      <w:pPr>
        <w:tabs>
          <w:tab w:val="num" w:pos="1440"/>
        </w:tabs>
        <w:ind w:left="1440" w:hanging="360"/>
      </w:pPr>
      <w:rPr>
        <w:rFonts w:ascii="Wingdings" w:hAnsi="Wingdings" w:hint="default"/>
      </w:rPr>
    </w:lvl>
    <w:lvl w:ilvl="2" w:tplc="8D7C7680" w:tentative="1">
      <w:start w:val="1"/>
      <w:numFmt w:val="bullet"/>
      <w:lvlText w:val=""/>
      <w:lvlJc w:val="left"/>
      <w:pPr>
        <w:tabs>
          <w:tab w:val="num" w:pos="2160"/>
        </w:tabs>
        <w:ind w:left="2160" w:hanging="360"/>
      </w:pPr>
      <w:rPr>
        <w:rFonts w:ascii="Wingdings" w:hAnsi="Wingdings" w:hint="default"/>
      </w:rPr>
    </w:lvl>
    <w:lvl w:ilvl="3" w:tplc="B1627DAC" w:tentative="1">
      <w:start w:val="1"/>
      <w:numFmt w:val="bullet"/>
      <w:lvlText w:val=""/>
      <w:lvlJc w:val="left"/>
      <w:pPr>
        <w:tabs>
          <w:tab w:val="num" w:pos="2880"/>
        </w:tabs>
        <w:ind w:left="2880" w:hanging="360"/>
      </w:pPr>
      <w:rPr>
        <w:rFonts w:ascii="Wingdings" w:hAnsi="Wingdings" w:hint="default"/>
      </w:rPr>
    </w:lvl>
    <w:lvl w:ilvl="4" w:tplc="C0B43576" w:tentative="1">
      <w:start w:val="1"/>
      <w:numFmt w:val="bullet"/>
      <w:lvlText w:val=""/>
      <w:lvlJc w:val="left"/>
      <w:pPr>
        <w:tabs>
          <w:tab w:val="num" w:pos="3600"/>
        </w:tabs>
        <w:ind w:left="3600" w:hanging="360"/>
      </w:pPr>
      <w:rPr>
        <w:rFonts w:ascii="Wingdings" w:hAnsi="Wingdings" w:hint="default"/>
      </w:rPr>
    </w:lvl>
    <w:lvl w:ilvl="5" w:tplc="4328C0BA" w:tentative="1">
      <w:start w:val="1"/>
      <w:numFmt w:val="bullet"/>
      <w:lvlText w:val=""/>
      <w:lvlJc w:val="left"/>
      <w:pPr>
        <w:tabs>
          <w:tab w:val="num" w:pos="4320"/>
        </w:tabs>
        <w:ind w:left="4320" w:hanging="360"/>
      </w:pPr>
      <w:rPr>
        <w:rFonts w:ascii="Wingdings" w:hAnsi="Wingdings" w:hint="default"/>
      </w:rPr>
    </w:lvl>
    <w:lvl w:ilvl="6" w:tplc="46D25258" w:tentative="1">
      <w:start w:val="1"/>
      <w:numFmt w:val="bullet"/>
      <w:lvlText w:val=""/>
      <w:lvlJc w:val="left"/>
      <w:pPr>
        <w:tabs>
          <w:tab w:val="num" w:pos="5040"/>
        </w:tabs>
        <w:ind w:left="5040" w:hanging="360"/>
      </w:pPr>
      <w:rPr>
        <w:rFonts w:ascii="Wingdings" w:hAnsi="Wingdings" w:hint="default"/>
      </w:rPr>
    </w:lvl>
    <w:lvl w:ilvl="7" w:tplc="77B82C68" w:tentative="1">
      <w:start w:val="1"/>
      <w:numFmt w:val="bullet"/>
      <w:lvlText w:val=""/>
      <w:lvlJc w:val="left"/>
      <w:pPr>
        <w:tabs>
          <w:tab w:val="num" w:pos="5760"/>
        </w:tabs>
        <w:ind w:left="5760" w:hanging="360"/>
      </w:pPr>
      <w:rPr>
        <w:rFonts w:ascii="Wingdings" w:hAnsi="Wingdings" w:hint="default"/>
      </w:rPr>
    </w:lvl>
    <w:lvl w:ilvl="8" w:tplc="EC484B4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4"/>
  </w:num>
  <w:num w:numId="6">
    <w:abstractNumId w:val="18"/>
  </w:num>
  <w:num w:numId="7">
    <w:abstractNumId w:val="1"/>
  </w:num>
  <w:num w:numId="8">
    <w:abstractNumId w:val="32"/>
  </w:num>
  <w:num w:numId="9">
    <w:abstractNumId w:val="30"/>
  </w:num>
  <w:num w:numId="10">
    <w:abstractNumId w:val="26"/>
  </w:num>
  <w:num w:numId="11">
    <w:abstractNumId w:val="8"/>
  </w:num>
  <w:num w:numId="12">
    <w:abstractNumId w:val="16"/>
  </w:num>
  <w:num w:numId="13">
    <w:abstractNumId w:val="27"/>
  </w:num>
  <w:num w:numId="14">
    <w:abstractNumId w:val="2"/>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7"/>
  </w:num>
  <w:num w:numId="31">
    <w:abstractNumId w:val="3"/>
  </w:num>
  <w:num w:numId="32">
    <w:abstractNumId w:val="7"/>
  </w:num>
  <w:num w:numId="33">
    <w:abstractNumId w:val="9"/>
  </w:num>
  <w:num w:numId="34">
    <w:abstractNumId w:val="22"/>
  </w:num>
  <w:num w:numId="35">
    <w:abstractNumId w:val="28"/>
  </w:num>
  <w:num w:numId="36">
    <w:abstractNumId w:val="25"/>
  </w:num>
  <w:num w:numId="37">
    <w:abstractNumId w:val="19"/>
  </w:num>
  <w:num w:numId="38">
    <w:abstractNumId w:val="24"/>
  </w:num>
  <w:num w:numId="39">
    <w:abstractNumId w:val="0"/>
  </w:num>
  <w:num w:numId="40">
    <w:abstractNumId w:val="21"/>
  </w:num>
  <w:num w:numId="41">
    <w:abstractNumId w:val="13"/>
  </w:num>
  <w:num w:numId="42">
    <w:abstractNumId w:val="15"/>
  </w:num>
  <w:num w:numId="43">
    <w:abstractNumId w:val="4"/>
  </w:num>
  <w:num w:numId="44">
    <w:abstractNumId w:val="31"/>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6" w:nlCheck="1" w:checkStyle="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6D5"/>
    <w:rsid w:val="000008E5"/>
    <w:rsid w:val="000013AD"/>
    <w:rsid w:val="000015EE"/>
    <w:rsid w:val="00001781"/>
    <w:rsid w:val="0000183E"/>
    <w:rsid w:val="000022D5"/>
    <w:rsid w:val="000039D2"/>
    <w:rsid w:val="00003D9B"/>
    <w:rsid w:val="000046B8"/>
    <w:rsid w:val="00004C6A"/>
    <w:rsid w:val="000065AF"/>
    <w:rsid w:val="00007EB9"/>
    <w:rsid w:val="00010849"/>
    <w:rsid w:val="00012D11"/>
    <w:rsid w:val="00012E10"/>
    <w:rsid w:val="00013EB5"/>
    <w:rsid w:val="00015B51"/>
    <w:rsid w:val="00017770"/>
    <w:rsid w:val="000204A9"/>
    <w:rsid w:val="0002253E"/>
    <w:rsid w:val="00022862"/>
    <w:rsid w:val="00022AA6"/>
    <w:rsid w:val="0002340A"/>
    <w:rsid w:val="00023836"/>
    <w:rsid w:val="00024147"/>
    <w:rsid w:val="00025B66"/>
    <w:rsid w:val="00026DD8"/>
    <w:rsid w:val="0002728E"/>
    <w:rsid w:val="00030B65"/>
    <w:rsid w:val="00031104"/>
    <w:rsid w:val="00034971"/>
    <w:rsid w:val="0003515E"/>
    <w:rsid w:val="0003559E"/>
    <w:rsid w:val="000356A9"/>
    <w:rsid w:val="00035ECF"/>
    <w:rsid w:val="000401C4"/>
    <w:rsid w:val="000411FC"/>
    <w:rsid w:val="000422B4"/>
    <w:rsid w:val="00043D7F"/>
    <w:rsid w:val="00044138"/>
    <w:rsid w:val="000444AC"/>
    <w:rsid w:val="00044739"/>
    <w:rsid w:val="00044A10"/>
    <w:rsid w:val="00051637"/>
    <w:rsid w:val="00051824"/>
    <w:rsid w:val="00052A6C"/>
    <w:rsid w:val="00055A48"/>
    <w:rsid w:val="00056613"/>
    <w:rsid w:val="00056681"/>
    <w:rsid w:val="0005675C"/>
    <w:rsid w:val="000648A7"/>
    <w:rsid w:val="00065903"/>
    <w:rsid w:val="0006618B"/>
    <w:rsid w:val="000670C0"/>
    <w:rsid w:val="0006781B"/>
    <w:rsid w:val="000679FD"/>
    <w:rsid w:val="00067DFD"/>
    <w:rsid w:val="00070781"/>
    <w:rsid w:val="00071B99"/>
    <w:rsid w:val="00073B7F"/>
    <w:rsid w:val="00073D5D"/>
    <w:rsid w:val="0007434C"/>
    <w:rsid w:val="000756E5"/>
    <w:rsid w:val="00075A2A"/>
    <w:rsid w:val="0007704E"/>
    <w:rsid w:val="00077CD1"/>
    <w:rsid w:val="0008049B"/>
    <w:rsid w:val="00080EC8"/>
    <w:rsid w:val="000869F8"/>
    <w:rsid w:val="000873F2"/>
    <w:rsid w:val="00090098"/>
    <w:rsid w:val="0009107D"/>
    <w:rsid w:val="00091D16"/>
    <w:rsid w:val="000929D0"/>
    <w:rsid w:val="000931A6"/>
    <w:rsid w:val="00093AAD"/>
    <w:rsid w:val="00093AE5"/>
    <w:rsid w:val="00093BC6"/>
    <w:rsid w:val="00093D07"/>
    <w:rsid w:val="000944AC"/>
    <w:rsid w:val="00094CB9"/>
    <w:rsid w:val="00094E8B"/>
    <w:rsid w:val="000956B2"/>
    <w:rsid w:val="000969E7"/>
    <w:rsid w:val="000970B7"/>
    <w:rsid w:val="000A23DE"/>
    <w:rsid w:val="000A400E"/>
    <w:rsid w:val="000A4020"/>
    <w:rsid w:val="000A5E68"/>
    <w:rsid w:val="000B194F"/>
    <w:rsid w:val="000B54FB"/>
    <w:rsid w:val="000B58D9"/>
    <w:rsid w:val="000B6136"/>
    <w:rsid w:val="000B61EA"/>
    <w:rsid w:val="000B775D"/>
    <w:rsid w:val="000B78B6"/>
    <w:rsid w:val="000B7953"/>
    <w:rsid w:val="000B7DF9"/>
    <w:rsid w:val="000B7F75"/>
    <w:rsid w:val="000C014B"/>
    <w:rsid w:val="000C193F"/>
    <w:rsid w:val="000C29B0"/>
    <w:rsid w:val="000C2B69"/>
    <w:rsid w:val="000C3E1D"/>
    <w:rsid w:val="000C4A42"/>
    <w:rsid w:val="000C4B00"/>
    <w:rsid w:val="000C76FC"/>
    <w:rsid w:val="000D06C7"/>
    <w:rsid w:val="000D15C6"/>
    <w:rsid w:val="000D2703"/>
    <w:rsid w:val="000D2A3E"/>
    <w:rsid w:val="000D38FC"/>
    <w:rsid w:val="000D4D90"/>
    <w:rsid w:val="000E0B91"/>
    <w:rsid w:val="000E1481"/>
    <w:rsid w:val="000E2697"/>
    <w:rsid w:val="000E2D10"/>
    <w:rsid w:val="000E538E"/>
    <w:rsid w:val="000E53A8"/>
    <w:rsid w:val="000E7CB7"/>
    <w:rsid w:val="000F13B7"/>
    <w:rsid w:val="000F15CD"/>
    <w:rsid w:val="000F19B7"/>
    <w:rsid w:val="000F2DBC"/>
    <w:rsid w:val="000F3204"/>
    <w:rsid w:val="000F3BEB"/>
    <w:rsid w:val="000F4F98"/>
    <w:rsid w:val="000F7738"/>
    <w:rsid w:val="001012CF"/>
    <w:rsid w:val="00101807"/>
    <w:rsid w:val="001023F2"/>
    <w:rsid w:val="00103801"/>
    <w:rsid w:val="00104843"/>
    <w:rsid w:val="0010548B"/>
    <w:rsid w:val="00106020"/>
    <w:rsid w:val="00106634"/>
    <w:rsid w:val="001072D1"/>
    <w:rsid w:val="00112B64"/>
    <w:rsid w:val="0011399E"/>
    <w:rsid w:val="00115A3B"/>
    <w:rsid w:val="00115B85"/>
    <w:rsid w:val="00117017"/>
    <w:rsid w:val="001213C0"/>
    <w:rsid w:val="001215A3"/>
    <w:rsid w:val="001226E2"/>
    <w:rsid w:val="00123103"/>
    <w:rsid w:val="001261B1"/>
    <w:rsid w:val="00126BB1"/>
    <w:rsid w:val="00126D47"/>
    <w:rsid w:val="00126D9B"/>
    <w:rsid w:val="00127CC8"/>
    <w:rsid w:val="00130E8E"/>
    <w:rsid w:val="0013144C"/>
    <w:rsid w:val="0013216E"/>
    <w:rsid w:val="00132E3B"/>
    <w:rsid w:val="0013328E"/>
    <w:rsid w:val="0013439F"/>
    <w:rsid w:val="00135AB9"/>
    <w:rsid w:val="00135EFE"/>
    <w:rsid w:val="00136003"/>
    <w:rsid w:val="00137C34"/>
    <w:rsid w:val="001401B5"/>
    <w:rsid w:val="001422B9"/>
    <w:rsid w:val="001422E7"/>
    <w:rsid w:val="00144CA4"/>
    <w:rsid w:val="001459E0"/>
    <w:rsid w:val="0014665F"/>
    <w:rsid w:val="00147E2B"/>
    <w:rsid w:val="001504F3"/>
    <w:rsid w:val="00150BAD"/>
    <w:rsid w:val="001518CF"/>
    <w:rsid w:val="00153464"/>
    <w:rsid w:val="001541B3"/>
    <w:rsid w:val="00155B15"/>
    <w:rsid w:val="00156039"/>
    <w:rsid w:val="0015770C"/>
    <w:rsid w:val="00160496"/>
    <w:rsid w:val="00160BE2"/>
    <w:rsid w:val="001625BE"/>
    <w:rsid w:val="001643A4"/>
    <w:rsid w:val="001669C9"/>
    <w:rsid w:val="00170255"/>
    <w:rsid w:val="001707A1"/>
    <w:rsid w:val="001724AC"/>
    <w:rsid w:val="001727BB"/>
    <w:rsid w:val="00173A5F"/>
    <w:rsid w:val="00173B5E"/>
    <w:rsid w:val="00173E80"/>
    <w:rsid w:val="00174A1E"/>
    <w:rsid w:val="00180D25"/>
    <w:rsid w:val="0018318D"/>
    <w:rsid w:val="0018572C"/>
    <w:rsid w:val="00187E79"/>
    <w:rsid w:val="00187EA6"/>
    <w:rsid w:val="00187F0D"/>
    <w:rsid w:val="00190FC9"/>
    <w:rsid w:val="00192CC5"/>
    <w:rsid w:val="001956A7"/>
    <w:rsid w:val="001A069B"/>
    <w:rsid w:val="001A118A"/>
    <w:rsid w:val="001A27F4"/>
    <w:rsid w:val="001A2D95"/>
    <w:rsid w:val="001A40DF"/>
    <w:rsid w:val="001A5A2D"/>
    <w:rsid w:val="001B003A"/>
    <w:rsid w:val="001B1B0C"/>
    <w:rsid w:val="001B3460"/>
    <w:rsid w:val="001B38BE"/>
    <w:rsid w:val="001B431C"/>
    <w:rsid w:val="001B4CA1"/>
    <w:rsid w:val="001B58A8"/>
    <w:rsid w:val="001B75D8"/>
    <w:rsid w:val="001C0C23"/>
    <w:rsid w:val="001C1060"/>
    <w:rsid w:val="001C24B2"/>
    <w:rsid w:val="001C3C63"/>
    <w:rsid w:val="001C580D"/>
    <w:rsid w:val="001C66D4"/>
    <w:rsid w:val="001D1AFD"/>
    <w:rsid w:val="001D2C24"/>
    <w:rsid w:val="001D377B"/>
    <w:rsid w:val="001D3A9E"/>
    <w:rsid w:val="001D4732"/>
    <w:rsid w:val="001D6A3C"/>
    <w:rsid w:val="001D6D51"/>
    <w:rsid w:val="001E1A51"/>
    <w:rsid w:val="001E2106"/>
    <w:rsid w:val="001E2F52"/>
    <w:rsid w:val="001E4C78"/>
    <w:rsid w:val="001E739A"/>
    <w:rsid w:val="001E7A9F"/>
    <w:rsid w:val="001F0652"/>
    <w:rsid w:val="001F1E5C"/>
    <w:rsid w:val="001F5020"/>
    <w:rsid w:val="001F653A"/>
    <w:rsid w:val="001F6979"/>
    <w:rsid w:val="001F7B8E"/>
    <w:rsid w:val="001F7CF5"/>
    <w:rsid w:val="002019C5"/>
    <w:rsid w:val="002026D6"/>
    <w:rsid w:val="00202BC6"/>
    <w:rsid w:val="00204410"/>
    <w:rsid w:val="00204A38"/>
    <w:rsid w:val="00205141"/>
    <w:rsid w:val="0020516B"/>
    <w:rsid w:val="002072E1"/>
    <w:rsid w:val="00207955"/>
    <w:rsid w:val="00210056"/>
    <w:rsid w:val="00210173"/>
    <w:rsid w:val="00210C81"/>
    <w:rsid w:val="0021235C"/>
    <w:rsid w:val="00213559"/>
    <w:rsid w:val="00213EFD"/>
    <w:rsid w:val="0021555A"/>
    <w:rsid w:val="002172F1"/>
    <w:rsid w:val="00223C7B"/>
    <w:rsid w:val="00224AB1"/>
    <w:rsid w:val="00225827"/>
    <w:rsid w:val="0022687A"/>
    <w:rsid w:val="00227FB6"/>
    <w:rsid w:val="00230728"/>
    <w:rsid w:val="00231EA4"/>
    <w:rsid w:val="00232312"/>
    <w:rsid w:val="00234040"/>
    <w:rsid w:val="0023435B"/>
    <w:rsid w:val="00234886"/>
    <w:rsid w:val="002357E9"/>
    <w:rsid w:val="002359C7"/>
    <w:rsid w:val="00235CD2"/>
    <w:rsid w:val="002367AC"/>
    <w:rsid w:val="00236E5F"/>
    <w:rsid w:val="0024028B"/>
    <w:rsid w:val="002407F8"/>
    <w:rsid w:val="00241FC1"/>
    <w:rsid w:val="00242046"/>
    <w:rsid w:val="0024671A"/>
    <w:rsid w:val="00246DD3"/>
    <w:rsid w:val="002510D7"/>
    <w:rsid w:val="00252F09"/>
    <w:rsid w:val="0025435E"/>
    <w:rsid w:val="00254DED"/>
    <w:rsid w:val="00255619"/>
    <w:rsid w:val="00255DAD"/>
    <w:rsid w:val="00256108"/>
    <w:rsid w:val="00256A90"/>
    <w:rsid w:val="00256F3E"/>
    <w:rsid w:val="00260F33"/>
    <w:rsid w:val="00261324"/>
    <w:rsid w:val="002613BD"/>
    <w:rsid w:val="00261461"/>
    <w:rsid w:val="00261D20"/>
    <w:rsid w:val="00261E80"/>
    <w:rsid w:val="002624F1"/>
    <w:rsid w:val="002632C4"/>
    <w:rsid w:val="0026491C"/>
    <w:rsid w:val="00265D3B"/>
    <w:rsid w:val="00266BAD"/>
    <w:rsid w:val="00270C81"/>
    <w:rsid w:val="00271558"/>
    <w:rsid w:val="00271F42"/>
    <w:rsid w:val="00274862"/>
    <w:rsid w:val="00277F6C"/>
    <w:rsid w:val="00281526"/>
    <w:rsid w:val="00282D72"/>
    <w:rsid w:val="00283402"/>
    <w:rsid w:val="00284C48"/>
    <w:rsid w:val="00285EE9"/>
    <w:rsid w:val="00286591"/>
    <w:rsid w:val="00290D27"/>
    <w:rsid w:val="00290FD6"/>
    <w:rsid w:val="0029362F"/>
    <w:rsid w:val="00294259"/>
    <w:rsid w:val="002957DE"/>
    <w:rsid w:val="00295826"/>
    <w:rsid w:val="002A15FC"/>
    <w:rsid w:val="002A279F"/>
    <w:rsid w:val="002A2C81"/>
    <w:rsid w:val="002A3A56"/>
    <w:rsid w:val="002A5BF4"/>
    <w:rsid w:val="002B3D1A"/>
    <w:rsid w:val="002B7962"/>
    <w:rsid w:val="002C1755"/>
    <w:rsid w:val="002C1A97"/>
    <w:rsid w:val="002C27D0"/>
    <w:rsid w:val="002C2C9B"/>
    <w:rsid w:val="002C4854"/>
    <w:rsid w:val="002C492D"/>
    <w:rsid w:val="002C5FD6"/>
    <w:rsid w:val="002D05E5"/>
    <w:rsid w:val="002D17D6"/>
    <w:rsid w:val="002D18D7"/>
    <w:rsid w:val="002D1EF6"/>
    <w:rsid w:val="002D21CE"/>
    <w:rsid w:val="002D21D9"/>
    <w:rsid w:val="002D4793"/>
    <w:rsid w:val="002D4E36"/>
    <w:rsid w:val="002D4F25"/>
    <w:rsid w:val="002E2358"/>
    <w:rsid w:val="002E3DA3"/>
    <w:rsid w:val="002E450F"/>
    <w:rsid w:val="002E4FB5"/>
    <w:rsid w:val="002E520C"/>
    <w:rsid w:val="002E6B38"/>
    <w:rsid w:val="002E6D63"/>
    <w:rsid w:val="002E6E2B"/>
    <w:rsid w:val="002E7A3F"/>
    <w:rsid w:val="002E7D3F"/>
    <w:rsid w:val="002F0A74"/>
    <w:rsid w:val="002F0BE1"/>
    <w:rsid w:val="002F500B"/>
    <w:rsid w:val="002F6208"/>
    <w:rsid w:val="002F7579"/>
    <w:rsid w:val="002F75F6"/>
    <w:rsid w:val="00300991"/>
    <w:rsid w:val="0030157E"/>
    <w:rsid w:val="00301959"/>
    <w:rsid w:val="00303429"/>
    <w:rsid w:val="00303FA5"/>
    <w:rsid w:val="00305B8A"/>
    <w:rsid w:val="00307512"/>
    <w:rsid w:val="003103FD"/>
    <w:rsid w:val="0031176E"/>
    <w:rsid w:val="003134D5"/>
    <w:rsid w:val="00313D5A"/>
    <w:rsid w:val="003168C0"/>
    <w:rsid w:val="003214EE"/>
    <w:rsid w:val="00321D6D"/>
    <w:rsid w:val="003254A1"/>
    <w:rsid w:val="00326D6C"/>
    <w:rsid w:val="003314F5"/>
    <w:rsid w:val="003318D0"/>
    <w:rsid w:val="00331BF9"/>
    <w:rsid w:val="00331D06"/>
    <w:rsid w:val="00331FB1"/>
    <w:rsid w:val="00331FBF"/>
    <w:rsid w:val="0033495E"/>
    <w:rsid w:val="00334A79"/>
    <w:rsid w:val="00334D8D"/>
    <w:rsid w:val="00337345"/>
    <w:rsid w:val="00337DD2"/>
    <w:rsid w:val="003404D1"/>
    <w:rsid w:val="003414BF"/>
    <w:rsid w:val="00342D45"/>
    <w:rsid w:val="00342D7F"/>
    <w:rsid w:val="003442FD"/>
    <w:rsid w:val="003443FF"/>
    <w:rsid w:val="00346DF4"/>
    <w:rsid w:val="003503D1"/>
    <w:rsid w:val="00351398"/>
    <w:rsid w:val="0035216A"/>
    <w:rsid w:val="003544B3"/>
    <w:rsid w:val="00354AD6"/>
    <w:rsid w:val="00355808"/>
    <w:rsid w:val="003567CB"/>
    <w:rsid w:val="00357511"/>
    <w:rsid w:val="00362C7E"/>
    <w:rsid w:val="00363309"/>
    <w:rsid w:val="00363601"/>
    <w:rsid w:val="00367CCA"/>
    <w:rsid w:val="00370965"/>
    <w:rsid w:val="00371124"/>
    <w:rsid w:val="00371857"/>
    <w:rsid w:val="00371926"/>
    <w:rsid w:val="0037309E"/>
    <w:rsid w:val="00374061"/>
    <w:rsid w:val="00374150"/>
    <w:rsid w:val="00376AC9"/>
    <w:rsid w:val="00383C03"/>
    <w:rsid w:val="00383D12"/>
    <w:rsid w:val="00383DC2"/>
    <w:rsid w:val="00384C29"/>
    <w:rsid w:val="003862E7"/>
    <w:rsid w:val="003912C4"/>
    <w:rsid w:val="00392627"/>
    <w:rsid w:val="00393032"/>
    <w:rsid w:val="00394B69"/>
    <w:rsid w:val="00395CE6"/>
    <w:rsid w:val="00396FA1"/>
    <w:rsid w:val="00397078"/>
    <w:rsid w:val="00397760"/>
    <w:rsid w:val="003A56B7"/>
    <w:rsid w:val="003A6953"/>
    <w:rsid w:val="003A6F7A"/>
    <w:rsid w:val="003A73AE"/>
    <w:rsid w:val="003A7C72"/>
    <w:rsid w:val="003B0CB3"/>
    <w:rsid w:val="003B108C"/>
    <w:rsid w:val="003B1D56"/>
    <w:rsid w:val="003B2768"/>
    <w:rsid w:val="003B2A22"/>
    <w:rsid w:val="003B3400"/>
    <w:rsid w:val="003B3933"/>
    <w:rsid w:val="003B4AEF"/>
    <w:rsid w:val="003B6083"/>
    <w:rsid w:val="003B6890"/>
    <w:rsid w:val="003B7749"/>
    <w:rsid w:val="003C00E9"/>
    <w:rsid w:val="003C079F"/>
    <w:rsid w:val="003C1522"/>
    <w:rsid w:val="003C1C5D"/>
    <w:rsid w:val="003C1D07"/>
    <w:rsid w:val="003C3838"/>
    <w:rsid w:val="003C42BE"/>
    <w:rsid w:val="003C4B76"/>
    <w:rsid w:val="003C5847"/>
    <w:rsid w:val="003C6472"/>
    <w:rsid w:val="003D0681"/>
    <w:rsid w:val="003D0EEE"/>
    <w:rsid w:val="003D11C5"/>
    <w:rsid w:val="003D12F6"/>
    <w:rsid w:val="003D1426"/>
    <w:rsid w:val="003E0220"/>
    <w:rsid w:val="003E0716"/>
    <w:rsid w:val="003E298E"/>
    <w:rsid w:val="003E2F4E"/>
    <w:rsid w:val="003E34D6"/>
    <w:rsid w:val="003E3F2F"/>
    <w:rsid w:val="003E5246"/>
    <w:rsid w:val="003E6A9A"/>
    <w:rsid w:val="003E7036"/>
    <w:rsid w:val="003E720A"/>
    <w:rsid w:val="003F0A31"/>
    <w:rsid w:val="003F0B4D"/>
    <w:rsid w:val="003F40DC"/>
    <w:rsid w:val="003F4294"/>
    <w:rsid w:val="003F4905"/>
    <w:rsid w:val="003F4E1D"/>
    <w:rsid w:val="00400DFB"/>
    <w:rsid w:val="0040113D"/>
    <w:rsid w:val="00403E6E"/>
    <w:rsid w:val="0040479F"/>
    <w:rsid w:val="00405816"/>
    <w:rsid w:val="004059FE"/>
    <w:rsid w:val="0040672E"/>
    <w:rsid w:val="00407DD6"/>
    <w:rsid w:val="00407F10"/>
    <w:rsid w:val="004114CD"/>
    <w:rsid w:val="00411DAC"/>
    <w:rsid w:val="004129B4"/>
    <w:rsid w:val="004144EF"/>
    <w:rsid w:val="00416B5B"/>
    <w:rsid w:val="00416E2C"/>
    <w:rsid w:val="00417EF0"/>
    <w:rsid w:val="00421555"/>
    <w:rsid w:val="00422181"/>
    <w:rsid w:val="00422CEA"/>
    <w:rsid w:val="004244A8"/>
    <w:rsid w:val="0042567A"/>
    <w:rsid w:val="00425F72"/>
    <w:rsid w:val="00426397"/>
    <w:rsid w:val="00427736"/>
    <w:rsid w:val="004309FE"/>
    <w:rsid w:val="004320C6"/>
    <w:rsid w:val="004342E8"/>
    <w:rsid w:val="00437516"/>
    <w:rsid w:val="00440089"/>
    <w:rsid w:val="00440525"/>
    <w:rsid w:val="00441787"/>
    <w:rsid w:val="00442338"/>
    <w:rsid w:val="00443157"/>
    <w:rsid w:val="00444F2D"/>
    <w:rsid w:val="00446C23"/>
    <w:rsid w:val="00451C43"/>
    <w:rsid w:val="00452034"/>
    <w:rsid w:val="00452B6D"/>
    <w:rsid w:val="00453250"/>
    <w:rsid w:val="00453925"/>
    <w:rsid w:val="00455FA6"/>
    <w:rsid w:val="00460549"/>
    <w:rsid w:val="00460D2D"/>
    <w:rsid w:val="00462F64"/>
    <w:rsid w:val="004631DC"/>
    <w:rsid w:val="00463861"/>
    <w:rsid w:val="004640F4"/>
    <w:rsid w:val="00464A6B"/>
    <w:rsid w:val="00466C70"/>
    <w:rsid w:val="004702C9"/>
    <w:rsid w:val="00471A7A"/>
    <w:rsid w:val="00472790"/>
    <w:rsid w:val="00472E45"/>
    <w:rsid w:val="00473FEA"/>
    <w:rsid w:val="0047579D"/>
    <w:rsid w:val="00476F39"/>
    <w:rsid w:val="0048229A"/>
    <w:rsid w:val="00483262"/>
    <w:rsid w:val="00484107"/>
    <w:rsid w:val="00484553"/>
    <w:rsid w:val="004848B5"/>
    <w:rsid w:val="00485673"/>
    <w:rsid w:val="00485CC5"/>
    <w:rsid w:val="0048708D"/>
    <w:rsid w:val="00487895"/>
    <w:rsid w:val="00487BCC"/>
    <w:rsid w:val="00490659"/>
    <w:rsid w:val="00492365"/>
    <w:rsid w:val="0049343F"/>
    <w:rsid w:val="00494901"/>
    <w:rsid w:val="004964FC"/>
    <w:rsid w:val="004970AB"/>
    <w:rsid w:val="004A014E"/>
    <w:rsid w:val="004A088D"/>
    <w:rsid w:val="004A145E"/>
    <w:rsid w:val="004A1F15"/>
    <w:rsid w:val="004A21C9"/>
    <w:rsid w:val="004A2A81"/>
    <w:rsid w:val="004A4420"/>
    <w:rsid w:val="004A5C41"/>
    <w:rsid w:val="004A7BD7"/>
    <w:rsid w:val="004B011B"/>
    <w:rsid w:val="004B0E9E"/>
    <w:rsid w:val="004B513B"/>
    <w:rsid w:val="004C137D"/>
    <w:rsid w:val="004C15C2"/>
    <w:rsid w:val="004C36D8"/>
    <w:rsid w:val="004C38C0"/>
    <w:rsid w:val="004C628A"/>
    <w:rsid w:val="004C62F5"/>
    <w:rsid w:val="004C6D7A"/>
    <w:rsid w:val="004C780D"/>
    <w:rsid w:val="004D1248"/>
    <w:rsid w:val="004D1678"/>
    <w:rsid w:val="004D198C"/>
    <w:rsid w:val="004D1E3C"/>
    <w:rsid w:val="004D4169"/>
    <w:rsid w:val="004D4FC7"/>
    <w:rsid w:val="004D5B06"/>
    <w:rsid w:val="004D6E14"/>
    <w:rsid w:val="004E1095"/>
    <w:rsid w:val="004E14BC"/>
    <w:rsid w:val="004E1B7A"/>
    <w:rsid w:val="004E2623"/>
    <w:rsid w:val="004E3A73"/>
    <w:rsid w:val="004E3A9E"/>
    <w:rsid w:val="004E3B66"/>
    <w:rsid w:val="004E3FF8"/>
    <w:rsid w:val="004E559C"/>
    <w:rsid w:val="004E5F2C"/>
    <w:rsid w:val="004E6DF3"/>
    <w:rsid w:val="004E7198"/>
    <w:rsid w:val="004F0575"/>
    <w:rsid w:val="004F104A"/>
    <w:rsid w:val="004F1F91"/>
    <w:rsid w:val="004F32D4"/>
    <w:rsid w:val="004F4E17"/>
    <w:rsid w:val="0050082F"/>
    <w:rsid w:val="00500C56"/>
    <w:rsid w:val="00501401"/>
    <w:rsid w:val="00501713"/>
    <w:rsid w:val="0050379B"/>
    <w:rsid w:val="00506568"/>
    <w:rsid w:val="00510105"/>
    <w:rsid w:val="0051075F"/>
    <w:rsid w:val="00513EE7"/>
    <w:rsid w:val="00514C7F"/>
    <w:rsid w:val="0051551B"/>
    <w:rsid w:val="00515B2D"/>
    <w:rsid w:val="00516B4A"/>
    <w:rsid w:val="00520B97"/>
    <w:rsid w:val="00520C57"/>
    <w:rsid w:val="00522D94"/>
    <w:rsid w:val="00523F5B"/>
    <w:rsid w:val="005270A1"/>
    <w:rsid w:val="0052744C"/>
    <w:rsid w:val="00530C18"/>
    <w:rsid w:val="00532231"/>
    <w:rsid w:val="00533BC9"/>
    <w:rsid w:val="00533D89"/>
    <w:rsid w:val="005363C0"/>
    <w:rsid w:val="00536564"/>
    <w:rsid w:val="005406DE"/>
    <w:rsid w:val="00540706"/>
    <w:rsid w:val="00542F5E"/>
    <w:rsid w:val="00543363"/>
    <w:rsid w:val="00544597"/>
    <w:rsid w:val="00544FFE"/>
    <w:rsid w:val="00545D94"/>
    <w:rsid w:val="005473F5"/>
    <w:rsid w:val="005477E7"/>
    <w:rsid w:val="00550C86"/>
    <w:rsid w:val="00552794"/>
    <w:rsid w:val="00553B4E"/>
    <w:rsid w:val="00554472"/>
    <w:rsid w:val="00554B7B"/>
    <w:rsid w:val="00561388"/>
    <w:rsid w:val="00563199"/>
    <w:rsid w:val="00563712"/>
    <w:rsid w:val="00563A86"/>
    <w:rsid w:val="00564874"/>
    <w:rsid w:val="00565001"/>
    <w:rsid w:val="00566835"/>
    <w:rsid w:val="00567963"/>
    <w:rsid w:val="0057009A"/>
    <w:rsid w:val="00571260"/>
    <w:rsid w:val="0057189C"/>
    <w:rsid w:val="00573658"/>
    <w:rsid w:val="00573740"/>
    <w:rsid w:val="00573FC1"/>
    <w:rsid w:val="005741EE"/>
    <w:rsid w:val="0057487C"/>
    <w:rsid w:val="005749D2"/>
    <w:rsid w:val="00576551"/>
    <w:rsid w:val="0057668E"/>
    <w:rsid w:val="005845C5"/>
    <w:rsid w:val="0058516D"/>
    <w:rsid w:val="00586AA3"/>
    <w:rsid w:val="0059113C"/>
    <w:rsid w:val="00592D7B"/>
    <w:rsid w:val="00595528"/>
    <w:rsid w:val="00595E83"/>
    <w:rsid w:val="005964F0"/>
    <w:rsid w:val="00596530"/>
    <w:rsid w:val="005967F3"/>
    <w:rsid w:val="00597824"/>
    <w:rsid w:val="005A06DF"/>
    <w:rsid w:val="005A1CD8"/>
    <w:rsid w:val="005A225F"/>
    <w:rsid w:val="005A2593"/>
    <w:rsid w:val="005A2CA1"/>
    <w:rsid w:val="005A3C38"/>
    <w:rsid w:val="005A5527"/>
    <w:rsid w:val="005A5AE6"/>
    <w:rsid w:val="005B0163"/>
    <w:rsid w:val="005B0202"/>
    <w:rsid w:val="005B1206"/>
    <w:rsid w:val="005B1DFF"/>
    <w:rsid w:val="005B1E6C"/>
    <w:rsid w:val="005B2144"/>
    <w:rsid w:val="005B37E8"/>
    <w:rsid w:val="005B48C2"/>
    <w:rsid w:val="005B5F74"/>
    <w:rsid w:val="005C0056"/>
    <w:rsid w:val="005C02D3"/>
    <w:rsid w:val="005C31D4"/>
    <w:rsid w:val="005C43F8"/>
    <w:rsid w:val="005C4D20"/>
    <w:rsid w:val="005C4E34"/>
    <w:rsid w:val="005C6625"/>
    <w:rsid w:val="005D12C5"/>
    <w:rsid w:val="005D1FB5"/>
    <w:rsid w:val="005D3085"/>
    <w:rsid w:val="005D4095"/>
    <w:rsid w:val="005D4C5E"/>
    <w:rsid w:val="005D4E7C"/>
    <w:rsid w:val="005D5D93"/>
    <w:rsid w:val="005D61D6"/>
    <w:rsid w:val="005D6286"/>
    <w:rsid w:val="005D68D4"/>
    <w:rsid w:val="005D7315"/>
    <w:rsid w:val="005E0D13"/>
    <w:rsid w:val="005E1136"/>
    <w:rsid w:val="005E2EEB"/>
    <w:rsid w:val="005E3590"/>
    <w:rsid w:val="005E5047"/>
    <w:rsid w:val="005E5A43"/>
    <w:rsid w:val="005E62B9"/>
    <w:rsid w:val="005E63D0"/>
    <w:rsid w:val="005E6DC7"/>
    <w:rsid w:val="005E7198"/>
    <w:rsid w:val="005E7205"/>
    <w:rsid w:val="005E7371"/>
    <w:rsid w:val="005F0E8C"/>
    <w:rsid w:val="005F116C"/>
    <w:rsid w:val="005F20C1"/>
    <w:rsid w:val="005F2131"/>
    <w:rsid w:val="005F23C1"/>
    <w:rsid w:val="005F6219"/>
    <w:rsid w:val="005F78C9"/>
    <w:rsid w:val="006018CD"/>
    <w:rsid w:val="00604498"/>
    <w:rsid w:val="00604747"/>
    <w:rsid w:val="00604E14"/>
    <w:rsid w:val="00605EF6"/>
    <w:rsid w:val="00606455"/>
    <w:rsid w:val="00606CAC"/>
    <w:rsid w:val="00610EFE"/>
    <w:rsid w:val="00610F85"/>
    <w:rsid w:val="00612080"/>
    <w:rsid w:val="00612BEC"/>
    <w:rsid w:val="0061337B"/>
    <w:rsid w:val="00614929"/>
    <w:rsid w:val="00616511"/>
    <w:rsid w:val="0061744C"/>
    <w:rsid w:val="006176ED"/>
    <w:rsid w:val="00620276"/>
    <w:rsid w:val="006202F3"/>
    <w:rsid w:val="0062097A"/>
    <w:rsid w:val="00621DA6"/>
    <w:rsid w:val="00623A86"/>
    <w:rsid w:val="00623CFE"/>
    <w:rsid w:val="00625F83"/>
    <w:rsid w:val="00626947"/>
    <w:rsid w:val="00626AFA"/>
    <w:rsid w:val="00627221"/>
    <w:rsid w:val="00627EE8"/>
    <w:rsid w:val="00630DB2"/>
    <w:rsid w:val="006316FA"/>
    <w:rsid w:val="00631750"/>
    <w:rsid w:val="00631843"/>
    <w:rsid w:val="00631BA9"/>
    <w:rsid w:val="0063275A"/>
    <w:rsid w:val="006370D2"/>
    <w:rsid w:val="0064074F"/>
    <w:rsid w:val="0064140B"/>
    <w:rsid w:val="006415A2"/>
    <w:rsid w:val="00641F55"/>
    <w:rsid w:val="00645E4A"/>
    <w:rsid w:val="00646494"/>
    <w:rsid w:val="006468D9"/>
    <w:rsid w:val="006477E7"/>
    <w:rsid w:val="006507C0"/>
    <w:rsid w:val="00651BEA"/>
    <w:rsid w:val="00651DEC"/>
    <w:rsid w:val="00653688"/>
    <w:rsid w:val="00655184"/>
    <w:rsid w:val="006551D7"/>
    <w:rsid w:val="00655E60"/>
    <w:rsid w:val="00657E25"/>
    <w:rsid w:val="0066091B"/>
    <w:rsid w:val="00664C37"/>
    <w:rsid w:val="006660E9"/>
    <w:rsid w:val="00667249"/>
    <w:rsid w:val="00667558"/>
    <w:rsid w:val="00670EE2"/>
    <w:rsid w:val="00671523"/>
    <w:rsid w:val="00671A32"/>
    <w:rsid w:val="00671E15"/>
    <w:rsid w:val="00673930"/>
    <w:rsid w:val="00674212"/>
    <w:rsid w:val="006750B0"/>
    <w:rsid w:val="006754EF"/>
    <w:rsid w:val="00675F1F"/>
    <w:rsid w:val="00676C8D"/>
    <w:rsid w:val="00676F1F"/>
    <w:rsid w:val="00677381"/>
    <w:rsid w:val="00677414"/>
    <w:rsid w:val="006832CF"/>
    <w:rsid w:val="00685F57"/>
    <w:rsid w:val="0068601E"/>
    <w:rsid w:val="006868DA"/>
    <w:rsid w:val="00687766"/>
    <w:rsid w:val="00687B3B"/>
    <w:rsid w:val="00690B71"/>
    <w:rsid w:val="0069122C"/>
    <w:rsid w:val="00692C34"/>
    <w:rsid w:val="0069356B"/>
    <w:rsid w:val="00693C83"/>
    <w:rsid w:val="0069486B"/>
    <w:rsid w:val="00694CEC"/>
    <w:rsid w:val="00694E00"/>
    <w:rsid w:val="00694E2F"/>
    <w:rsid w:val="006A472F"/>
    <w:rsid w:val="006A4904"/>
    <w:rsid w:val="006A5009"/>
    <w:rsid w:val="006A548F"/>
    <w:rsid w:val="006A701A"/>
    <w:rsid w:val="006B32F1"/>
    <w:rsid w:val="006B3605"/>
    <w:rsid w:val="006B4F11"/>
    <w:rsid w:val="006B55D9"/>
    <w:rsid w:val="006B64DC"/>
    <w:rsid w:val="006B7A91"/>
    <w:rsid w:val="006C0347"/>
    <w:rsid w:val="006C12C4"/>
    <w:rsid w:val="006C4A10"/>
    <w:rsid w:val="006C5D38"/>
    <w:rsid w:val="006C70CE"/>
    <w:rsid w:val="006D4704"/>
    <w:rsid w:val="006D4AF0"/>
    <w:rsid w:val="006D5CC1"/>
    <w:rsid w:val="006D6A2D"/>
    <w:rsid w:val="006D6FDE"/>
    <w:rsid w:val="006E018E"/>
    <w:rsid w:val="006E0320"/>
    <w:rsid w:val="006E1851"/>
    <w:rsid w:val="006E1E18"/>
    <w:rsid w:val="006E31CE"/>
    <w:rsid w:val="006E34D3"/>
    <w:rsid w:val="006E53B1"/>
    <w:rsid w:val="006E5488"/>
    <w:rsid w:val="006E7607"/>
    <w:rsid w:val="006F0059"/>
    <w:rsid w:val="006F1435"/>
    <w:rsid w:val="006F1EC1"/>
    <w:rsid w:val="006F371A"/>
    <w:rsid w:val="006F41F7"/>
    <w:rsid w:val="006F5788"/>
    <w:rsid w:val="006F78C4"/>
    <w:rsid w:val="00700B97"/>
    <w:rsid w:val="00701D93"/>
    <w:rsid w:val="007031A0"/>
    <w:rsid w:val="00705979"/>
    <w:rsid w:val="00705A29"/>
    <w:rsid w:val="00706CDF"/>
    <w:rsid w:val="00707498"/>
    <w:rsid w:val="00710BDE"/>
    <w:rsid w:val="00710CC3"/>
    <w:rsid w:val="00711A65"/>
    <w:rsid w:val="00714133"/>
    <w:rsid w:val="00714DA4"/>
    <w:rsid w:val="007158B2"/>
    <w:rsid w:val="00716081"/>
    <w:rsid w:val="00717FED"/>
    <w:rsid w:val="00720D3E"/>
    <w:rsid w:val="00722B48"/>
    <w:rsid w:val="007237D8"/>
    <w:rsid w:val="00724164"/>
    <w:rsid w:val="007247BA"/>
    <w:rsid w:val="00725DE7"/>
    <w:rsid w:val="0072636A"/>
    <w:rsid w:val="00726B44"/>
    <w:rsid w:val="007276DF"/>
    <w:rsid w:val="00731467"/>
    <w:rsid w:val="007318DD"/>
    <w:rsid w:val="00733167"/>
    <w:rsid w:val="007337F1"/>
    <w:rsid w:val="007337FC"/>
    <w:rsid w:val="007347A7"/>
    <w:rsid w:val="0073567E"/>
    <w:rsid w:val="00735944"/>
    <w:rsid w:val="007368C9"/>
    <w:rsid w:val="00736917"/>
    <w:rsid w:val="00736EF3"/>
    <w:rsid w:val="00740308"/>
    <w:rsid w:val="007408E0"/>
    <w:rsid w:val="007409B2"/>
    <w:rsid w:val="00740D2C"/>
    <w:rsid w:val="007415D0"/>
    <w:rsid w:val="00741893"/>
    <w:rsid w:val="00741AE6"/>
    <w:rsid w:val="00744BF9"/>
    <w:rsid w:val="00744D1F"/>
    <w:rsid w:val="00746371"/>
    <w:rsid w:val="00752623"/>
    <w:rsid w:val="00752DD5"/>
    <w:rsid w:val="00755751"/>
    <w:rsid w:val="00760F1F"/>
    <w:rsid w:val="00761127"/>
    <w:rsid w:val="007629F8"/>
    <w:rsid w:val="00762CE6"/>
    <w:rsid w:val="00762FA8"/>
    <w:rsid w:val="0076423E"/>
    <w:rsid w:val="0076447E"/>
    <w:rsid w:val="007646CB"/>
    <w:rsid w:val="00764FB0"/>
    <w:rsid w:val="0076658F"/>
    <w:rsid w:val="0077040A"/>
    <w:rsid w:val="007711CE"/>
    <w:rsid w:val="00771F12"/>
    <w:rsid w:val="00772A79"/>
    <w:rsid w:val="00772D64"/>
    <w:rsid w:val="00774312"/>
    <w:rsid w:val="007749FC"/>
    <w:rsid w:val="007777BE"/>
    <w:rsid w:val="0078072F"/>
    <w:rsid w:val="007813E1"/>
    <w:rsid w:val="00783A83"/>
    <w:rsid w:val="00787E16"/>
    <w:rsid w:val="00790390"/>
    <w:rsid w:val="0079130E"/>
    <w:rsid w:val="00792609"/>
    <w:rsid w:val="00792887"/>
    <w:rsid w:val="007943E2"/>
    <w:rsid w:val="00794F2C"/>
    <w:rsid w:val="00795F21"/>
    <w:rsid w:val="007A1097"/>
    <w:rsid w:val="007A1A74"/>
    <w:rsid w:val="007A216B"/>
    <w:rsid w:val="007A2388"/>
    <w:rsid w:val="007A3BC7"/>
    <w:rsid w:val="007A4020"/>
    <w:rsid w:val="007A46CE"/>
    <w:rsid w:val="007A5449"/>
    <w:rsid w:val="007A5AC4"/>
    <w:rsid w:val="007A6AB0"/>
    <w:rsid w:val="007B0211"/>
    <w:rsid w:val="007B0FDD"/>
    <w:rsid w:val="007B2D49"/>
    <w:rsid w:val="007B3277"/>
    <w:rsid w:val="007B359A"/>
    <w:rsid w:val="007B3873"/>
    <w:rsid w:val="007B41F5"/>
    <w:rsid w:val="007B4802"/>
    <w:rsid w:val="007B5D7B"/>
    <w:rsid w:val="007B6668"/>
    <w:rsid w:val="007B6B33"/>
    <w:rsid w:val="007B78AF"/>
    <w:rsid w:val="007C03FA"/>
    <w:rsid w:val="007C2701"/>
    <w:rsid w:val="007C385A"/>
    <w:rsid w:val="007C4189"/>
    <w:rsid w:val="007C50C4"/>
    <w:rsid w:val="007C5B2C"/>
    <w:rsid w:val="007C5FB9"/>
    <w:rsid w:val="007C753E"/>
    <w:rsid w:val="007C75F5"/>
    <w:rsid w:val="007D078D"/>
    <w:rsid w:val="007D2192"/>
    <w:rsid w:val="007D4446"/>
    <w:rsid w:val="007D5460"/>
    <w:rsid w:val="007D7479"/>
    <w:rsid w:val="007E067D"/>
    <w:rsid w:val="007E772D"/>
    <w:rsid w:val="007F0021"/>
    <w:rsid w:val="007F2BF1"/>
    <w:rsid w:val="007F2DF8"/>
    <w:rsid w:val="007F2F52"/>
    <w:rsid w:val="007F3B60"/>
    <w:rsid w:val="00801F71"/>
    <w:rsid w:val="0080480C"/>
    <w:rsid w:val="008055B7"/>
    <w:rsid w:val="00805F28"/>
    <w:rsid w:val="0080749F"/>
    <w:rsid w:val="00807EAB"/>
    <w:rsid w:val="00810D8B"/>
    <w:rsid w:val="00811D46"/>
    <w:rsid w:val="008125B0"/>
    <w:rsid w:val="0081416C"/>
    <w:rsid w:val="008144CB"/>
    <w:rsid w:val="00816CE5"/>
    <w:rsid w:val="0082060A"/>
    <w:rsid w:val="0082131E"/>
    <w:rsid w:val="00821717"/>
    <w:rsid w:val="00822E39"/>
    <w:rsid w:val="00824210"/>
    <w:rsid w:val="00825C44"/>
    <w:rsid w:val="00825C65"/>
    <w:rsid w:val="008263C0"/>
    <w:rsid w:val="00826971"/>
    <w:rsid w:val="0082725F"/>
    <w:rsid w:val="00833049"/>
    <w:rsid w:val="008331A1"/>
    <w:rsid w:val="00836690"/>
    <w:rsid w:val="00840C61"/>
    <w:rsid w:val="00840D12"/>
    <w:rsid w:val="00841422"/>
    <w:rsid w:val="0084147C"/>
    <w:rsid w:val="00841571"/>
    <w:rsid w:val="00841D3B"/>
    <w:rsid w:val="0084314C"/>
    <w:rsid w:val="00843171"/>
    <w:rsid w:val="00843ED1"/>
    <w:rsid w:val="008507C4"/>
    <w:rsid w:val="008513B7"/>
    <w:rsid w:val="0085237B"/>
    <w:rsid w:val="00852C51"/>
    <w:rsid w:val="00852ED5"/>
    <w:rsid w:val="008556F4"/>
    <w:rsid w:val="00855ADE"/>
    <w:rsid w:val="00855BD1"/>
    <w:rsid w:val="00856799"/>
    <w:rsid w:val="008575C3"/>
    <w:rsid w:val="00857702"/>
    <w:rsid w:val="00857C12"/>
    <w:rsid w:val="00861718"/>
    <w:rsid w:val="00861E5E"/>
    <w:rsid w:val="00863D28"/>
    <w:rsid w:val="008648C3"/>
    <w:rsid w:val="00864B97"/>
    <w:rsid w:val="008656ED"/>
    <w:rsid w:val="00865E08"/>
    <w:rsid w:val="00867502"/>
    <w:rsid w:val="00870CD8"/>
    <w:rsid w:val="00871A39"/>
    <w:rsid w:val="00871B33"/>
    <w:rsid w:val="00872D96"/>
    <w:rsid w:val="00874376"/>
    <w:rsid w:val="00874C60"/>
    <w:rsid w:val="00880F26"/>
    <w:rsid w:val="00881AB7"/>
    <w:rsid w:val="00881EB8"/>
    <w:rsid w:val="00885003"/>
    <w:rsid w:val="00886CFD"/>
    <w:rsid w:val="00892320"/>
    <w:rsid w:val="00893568"/>
    <w:rsid w:val="00893F7B"/>
    <w:rsid w:val="008950C9"/>
    <w:rsid w:val="0089635D"/>
    <w:rsid w:val="008965D1"/>
    <w:rsid w:val="00896C2E"/>
    <w:rsid w:val="008A0859"/>
    <w:rsid w:val="008A5095"/>
    <w:rsid w:val="008A5CCE"/>
    <w:rsid w:val="008A608F"/>
    <w:rsid w:val="008A7092"/>
    <w:rsid w:val="008A78C1"/>
    <w:rsid w:val="008B067D"/>
    <w:rsid w:val="008B1A9A"/>
    <w:rsid w:val="008B4828"/>
    <w:rsid w:val="008B4FE6"/>
    <w:rsid w:val="008B50A7"/>
    <w:rsid w:val="008B55C8"/>
    <w:rsid w:val="008B6C37"/>
    <w:rsid w:val="008C27B0"/>
    <w:rsid w:val="008C7038"/>
    <w:rsid w:val="008C7539"/>
    <w:rsid w:val="008D0C47"/>
    <w:rsid w:val="008D0F3C"/>
    <w:rsid w:val="008D322F"/>
    <w:rsid w:val="008D7A4F"/>
    <w:rsid w:val="008E0A0D"/>
    <w:rsid w:val="008E1124"/>
    <w:rsid w:val="008E15F8"/>
    <w:rsid w:val="008E18F7"/>
    <w:rsid w:val="008E1E10"/>
    <w:rsid w:val="008E291B"/>
    <w:rsid w:val="008E4244"/>
    <w:rsid w:val="008E436F"/>
    <w:rsid w:val="008E4F2F"/>
    <w:rsid w:val="008E50CB"/>
    <w:rsid w:val="008E6269"/>
    <w:rsid w:val="008E74B0"/>
    <w:rsid w:val="008F0092"/>
    <w:rsid w:val="008F2D27"/>
    <w:rsid w:val="008F5176"/>
    <w:rsid w:val="008F5EFE"/>
    <w:rsid w:val="008F6DD6"/>
    <w:rsid w:val="008F7C74"/>
    <w:rsid w:val="009008A8"/>
    <w:rsid w:val="0090186A"/>
    <w:rsid w:val="00901917"/>
    <w:rsid w:val="009045EA"/>
    <w:rsid w:val="009046D4"/>
    <w:rsid w:val="00904BB2"/>
    <w:rsid w:val="009063B0"/>
    <w:rsid w:val="00906E17"/>
    <w:rsid w:val="00907106"/>
    <w:rsid w:val="009107FD"/>
    <w:rsid w:val="0091137C"/>
    <w:rsid w:val="00911567"/>
    <w:rsid w:val="00911F11"/>
    <w:rsid w:val="00913289"/>
    <w:rsid w:val="0091740D"/>
    <w:rsid w:val="00917864"/>
    <w:rsid w:val="00917AAE"/>
    <w:rsid w:val="00920F17"/>
    <w:rsid w:val="00922737"/>
    <w:rsid w:val="00922DCD"/>
    <w:rsid w:val="0092458E"/>
    <w:rsid w:val="009251A9"/>
    <w:rsid w:val="00925576"/>
    <w:rsid w:val="00925B89"/>
    <w:rsid w:val="00927C23"/>
    <w:rsid w:val="00930699"/>
    <w:rsid w:val="0093193D"/>
    <w:rsid w:val="00931F69"/>
    <w:rsid w:val="0093266F"/>
    <w:rsid w:val="00934123"/>
    <w:rsid w:val="00943AB8"/>
    <w:rsid w:val="00944818"/>
    <w:rsid w:val="00945C78"/>
    <w:rsid w:val="00946A09"/>
    <w:rsid w:val="0095109B"/>
    <w:rsid w:val="0095337F"/>
    <w:rsid w:val="0095519B"/>
    <w:rsid w:val="00955554"/>
    <w:rsid w:val="00955774"/>
    <w:rsid w:val="009560B5"/>
    <w:rsid w:val="00957275"/>
    <w:rsid w:val="009605FD"/>
    <w:rsid w:val="009626A9"/>
    <w:rsid w:val="009626B7"/>
    <w:rsid w:val="00962A70"/>
    <w:rsid w:val="00962DF7"/>
    <w:rsid w:val="009637FD"/>
    <w:rsid w:val="009703D6"/>
    <w:rsid w:val="00970979"/>
    <w:rsid w:val="0097181B"/>
    <w:rsid w:val="00976DC5"/>
    <w:rsid w:val="009815DA"/>
    <w:rsid w:val="009818C7"/>
    <w:rsid w:val="0098207A"/>
    <w:rsid w:val="00982DD4"/>
    <w:rsid w:val="009841E5"/>
    <w:rsid w:val="0098479F"/>
    <w:rsid w:val="00984A8A"/>
    <w:rsid w:val="009857B6"/>
    <w:rsid w:val="00985A8D"/>
    <w:rsid w:val="00986610"/>
    <w:rsid w:val="009877DC"/>
    <w:rsid w:val="00991F96"/>
    <w:rsid w:val="009933C7"/>
    <w:rsid w:val="009954F2"/>
    <w:rsid w:val="00995A38"/>
    <w:rsid w:val="00996F0A"/>
    <w:rsid w:val="0099762D"/>
    <w:rsid w:val="009A0658"/>
    <w:rsid w:val="009A1393"/>
    <w:rsid w:val="009A1D86"/>
    <w:rsid w:val="009A2C98"/>
    <w:rsid w:val="009A4E6C"/>
    <w:rsid w:val="009A5B5F"/>
    <w:rsid w:val="009B049C"/>
    <w:rsid w:val="009B11C8"/>
    <w:rsid w:val="009B1801"/>
    <w:rsid w:val="009B2BCF"/>
    <w:rsid w:val="009B2FF8"/>
    <w:rsid w:val="009B48DD"/>
    <w:rsid w:val="009B4CFE"/>
    <w:rsid w:val="009B4F94"/>
    <w:rsid w:val="009B5BA3"/>
    <w:rsid w:val="009B6792"/>
    <w:rsid w:val="009B6AF9"/>
    <w:rsid w:val="009B757E"/>
    <w:rsid w:val="009B7625"/>
    <w:rsid w:val="009B7797"/>
    <w:rsid w:val="009C01E2"/>
    <w:rsid w:val="009C0C60"/>
    <w:rsid w:val="009C1AE8"/>
    <w:rsid w:val="009C2590"/>
    <w:rsid w:val="009C27DE"/>
    <w:rsid w:val="009C376A"/>
    <w:rsid w:val="009C477B"/>
    <w:rsid w:val="009C52BE"/>
    <w:rsid w:val="009C5A75"/>
    <w:rsid w:val="009C5B27"/>
    <w:rsid w:val="009C6734"/>
    <w:rsid w:val="009D0027"/>
    <w:rsid w:val="009D0655"/>
    <w:rsid w:val="009D1B75"/>
    <w:rsid w:val="009D1EDF"/>
    <w:rsid w:val="009D2EFA"/>
    <w:rsid w:val="009D35D5"/>
    <w:rsid w:val="009D4362"/>
    <w:rsid w:val="009D472D"/>
    <w:rsid w:val="009D48AC"/>
    <w:rsid w:val="009E1158"/>
    <w:rsid w:val="009E1E98"/>
    <w:rsid w:val="009E2412"/>
    <w:rsid w:val="009E26C2"/>
    <w:rsid w:val="009E2E59"/>
    <w:rsid w:val="009E2FD0"/>
    <w:rsid w:val="009E3ABE"/>
    <w:rsid w:val="009E3C4B"/>
    <w:rsid w:val="009E44C1"/>
    <w:rsid w:val="009E722F"/>
    <w:rsid w:val="009F0056"/>
    <w:rsid w:val="009F0637"/>
    <w:rsid w:val="009F08D7"/>
    <w:rsid w:val="009F39D6"/>
    <w:rsid w:val="009F4E73"/>
    <w:rsid w:val="009F5445"/>
    <w:rsid w:val="009F5E9D"/>
    <w:rsid w:val="009F62A6"/>
    <w:rsid w:val="009F65A4"/>
    <w:rsid w:val="009F674F"/>
    <w:rsid w:val="009F799E"/>
    <w:rsid w:val="00A00249"/>
    <w:rsid w:val="00A02020"/>
    <w:rsid w:val="00A022BB"/>
    <w:rsid w:val="00A0291F"/>
    <w:rsid w:val="00A02CC0"/>
    <w:rsid w:val="00A04BF5"/>
    <w:rsid w:val="00A056CB"/>
    <w:rsid w:val="00A06200"/>
    <w:rsid w:val="00A0696D"/>
    <w:rsid w:val="00A07938"/>
    <w:rsid w:val="00A07A29"/>
    <w:rsid w:val="00A10FF1"/>
    <w:rsid w:val="00A127B9"/>
    <w:rsid w:val="00A136FC"/>
    <w:rsid w:val="00A1506B"/>
    <w:rsid w:val="00A15497"/>
    <w:rsid w:val="00A16CBE"/>
    <w:rsid w:val="00A16CF8"/>
    <w:rsid w:val="00A17CB2"/>
    <w:rsid w:val="00A20C61"/>
    <w:rsid w:val="00A2292E"/>
    <w:rsid w:val="00A22B15"/>
    <w:rsid w:val="00A23191"/>
    <w:rsid w:val="00A244E9"/>
    <w:rsid w:val="00A251D2"/>
    <w:rsid w:val="00A27A88"/>
    <w:rsid w:val="00A319C0"/>
    <w:rsid w:val="00A32293"/>
    <w:rsid w:val="00A33560"/>
    <w:rsid w:val="00A342C4"/>
    <w:rsid w:val="00A34523"/>
    <w:rsid w:val="00A346DF"/>
    <w:rsid w:val="00A356E2"/>
    <w:rsid w:val="00A364E4"/>
    <w:rsid w:val="00A371A5"/>
    <w:rsid w:val="00A410AB"/>
    <w:rsid w:val="00A41D3B"/>
    <w:rsid w:val="00A42CFC"/>
    <w:rsid w:val="00A43768"/>
    <w:rsid w:val="00A444EB"/>
    <w:rsid w:val="00A454BC"/>
    <w:rsid w:val="00A45B46"/>
    <w:rsid w:val="00A45CA1"/>
    <w:rsid w:val="00A47BDF"/>
    <w:rsid w:val="00A51034"/>
    <w:rsid w:val="00A51CD7"/>
    <w:rsid w:val="00A52ADB"/>
    <w:rsid w:val="00A53294"/>
    <w:rsid w:val="00A533E8"/>
    <w:rsid w:val="00A540B0"/>
    <w:rsid w:val="00A542D9"/>
    <w:rsid w:val="00A56E64"/>
    <w:rsid w:val="00A608EE"/>
    <w:rsid w:val="00A61667"/>
    <w:rsid w:val="00A624C3"/>
    <w:rsid w:val="00A628D1"/>
    <w:rsid w:val="00A62DBE"/>
    <w:rsid w:val="00A63C24"/>
    <w:rsid w:val="00A64CF3"/>
    <w:rsid w:val="00A6543B"/>
    <w:rsid w:val="00A6610C"/>
    <w:rsid w:val="00A66174"/>
    <w:rsid w:val="00A6641C"/>
    <w:rsid w:val="00A71CA1"/>
    <w:rsid w:val="00A7389B"/>
    <w:rsid w:val="00A74F6A"/>
    <w:rsid w:val="00A750C6"/>
    <w:rsid w:val="00A767D2"/>
    <w:rsid w:val="00A77505"/>
    <w:rsid w:val="00A77616"/>
    <w:rsid w:val="00A77839"/>
    <w:rsid w:val="00A77C5C"/>
    <w:rsid w:val="00A805DA"/>
    <w:rsid w:val="00A811B4"/>
    <w:rsid w:val="00A8133F"/>
    <w:rsid w:val="00A83D03"/>
    <w:rsid w:val="00A85330"/>
    <w:rsid w:val="00A87CDE"/>
    <w:rsid w:val="00A87EC4"/>
    <w:rsid w:val="00A9022D"/>
    <w:rsid w:val="00A9151E"/>
    <w:rsid w:val="00A92BAF"/>
    <w:rsid w:val="00A94737"/>
    <w:rsid w:val="00A94BA3"/>
    <w:rsid w:val="00A96CBA"/>
    <w:rsid w:val="00A97E2D"/>
    <w:rsid w:val="00AA000A"/>
    <w:rsid w:val="00AA18C3"/>
    <w:rsid w:val="00AA19A6"/>
    <w:rsid w:val="00AA1C62"/>
    <w:rsid w:val="00AA2933"/>
    <w:rsid w:val="00AA3F47"/>
    <w:rsid w:val="00AA4141"/>
    <w:rsid w:val="00AA4CFF"/>
    <w:rsid w:val="00AA7CF9"/>
    <w:rsid w:val="00AB0982"/>
    <w:rsid w:val="00AB0B94"/>
    <w:rsid w:val="00AB1ACD"/>
    <w:rsid w:val="00AB277F"/>
    <w:rsid w:val="00AB4099"/>
    <w:rsid w:val="00AB449A"/>
    <w:rsid w:val="00AB5731"/>
    <w:rsid w:val="00AB63A2"/>
    <w:rsid w:val="00AC1DCD"/>
    <w:rsid w:val="00AC22DA"/>
    <w:rsid w:val="00AC2630"/>
    <w:rsid w:val="00AC2669"/>
    <w:rsid w:val="00AC55C0"/>
    <w:rsid w:val="00AC7D1D"/>
    <w:rsid w:val="00AD0A54"/>
    <w:rsid w:val="00AD14F9"/>
    <w:rsid w:val="00AD1F22"/>
    <w:rsid w:val="00AD230C"/>
    <w:rsid w:val="00AD35D6"/>
    <w:rsid w:val="00AD58C5"/>
    <w:rsid w:val="00AD5C99"/>
    <w:rsid w:val="00AD6EC7"/>
    <w:rsid w:val="00AD7F33"/>
    <w:rsid w:val="00AD7F36"/>
    <w:rsid w:val="00AE0E0C"/>
    <w:rsid w:val="00AE1605"/>
    <w:rsid w:val="00AE36C4"/>
    <w:rsid w:val="00AE472C"/>
    <w:rsid w:val="00AE5375"/>
    <w:rsid w:val="00AE6396"/>
    <w:rsid w:val="00AE6CF8"/>
    <w:rsid w:val="00AE7F09"/>
    <w:rsid w:val="00AF0052"/>
    <w:rsid w:val="00AF08A4"/>
    <w:rsid w:val="00AF2032"/>
    <w:rsid w:val="00AF2043"/>
    <w:rsid w:val="00AF3EED"/>
    <w:rsid w:val="00AF455A"/>
    <w:rsid w:val="00AF4CAC"/>
    <w:rsid w:val="00AF7C41"/>
    <w:rsid w:val="00B03E0D"/>
    <w:rsid w:val="00B04006"/>
    <w:rsid w:val="00B054F8"/>
    <w:rsid w:val="00B07202"/>
    <w:rsid w:val="00B10096"/>
    <w:rsid w:val="00B104DF"/>
    <w:rsid w:val="00B1189F"/>
    <w:rsid w:val="00B13D80"/>
    <w:rsid w:val="00B15DF5"/>
    <w:rsid w:val="00B15DFA"/>
    <w:rsid w:val="00B2219A"/>
    <w:rsid w:val="00B23078"/>
    <w:rsid w:val="00B23164"/>
    <w:rsid w:val="00B26357"/>
    <w:rsid w:val="00B26C88"/>
    <w:rsid w:val="00B30185"/>
    <w:rsid w:val="00B32243"/>
    <w:rsid w:val="00B33EA0"/>
    <w:rsid w:val="00B3581B"/>
    <w:rsid w:val="00B3651D"/>
    <w:rsid w:val="00B36B81"/>
    <w:rsid w:val="00B36FEE"/>
    <w:rsid w:val="00B37C80"/>
    <w:rsid w:val="00B409CD"/>
    <w:rsid w:val="00B40DE0"/>
    <w:rsid w:val="00B44BCF"/>
    <w:rsid w:val="00B44BF1"/>
    <w:rsid w:val="00B44CC2"/>
    <w:rsid w:val="00B5092B"/>
    <w:rsid w:val="00B5194E"/>
    <w:rsid w:val="00B51AF5"/>
    <w:rsid w:val="00B531FC"/>
    <w:rsid w:val="00B533A4"/>
    <w:rsid w:val="00B5533C"/>
    <w:rsid w:val="00B55347"/>
    <w:rsid w:val="00B57E5E"/>
    <w:rsid w:val="00B61DA4"/>
    <w:rsid w:val="00B61F37"/>
    <w:rsid w:val="00B64CCE"/>
    <w:rsid w:val="00B66845"/>
    <w:rsid w:val="00B67393"/>
    <w:rsid w:val="00B67DA8"/>
    <w:rsid w:val="00B73202"/>
    <w:rsid w:val="00B7368D"/>
    <w:rsid w:val="00B75041"/>
    <w:rsid w:val="00B7646E"/>
    <w:rsid w:val="00B7770F"/>
    <w:rsid w:val="00B77812"/>
    <w:rsid w:val="00B77A89"/>
    <w:rsid w:val="00B77B27"/>
    <w:rsid w:val="00B81243"/>
    <w:rsid w:val="00B8134E"/>
    <w:rsid w:val="00B81B55"/>
    <w:rsid w:val="00B82E5D"/>
    <w:rsid w:val="00B830DC"/>
    <w:rsid w:val="00B84613"/>
    <w:rsid w:val="00B864D2"/>
    <w:rsid w:val="00B878C7"/>
    <w:rsid w:val="00B87AF0"/>
    <w:rsid w:val="00B9037B"/>
    <w:rsid w:val="00B910BD"/>
    <w:rsid w:val="00B9177D"/>
    <w:rsid w:val="00B9189C"/>
    <w:rsid w:val="00B918F8"/>
    <w:rsid w:val="00B92FA2"/>
    <w:rsid w:val="00B93834"/>
    <w:rsid w:val="00B9385A"/>
    <w:rsid w:val="00B9456D"/>
    <w:rsid w:val="00B9599C"/>
    <w:rsid w:val="00B95F8A"/>
    <w:rsid w:val="00B96469"/>
    <w:rsid w:val="00B97E62"/>
    <w:rsid w:val="00BA0DA2"/>
    <w:rsid w:val="00BA146A"/>
    <w:rsid w:val="00BA1519"/>
    <w:rsid w:val="00BA2981"/>
    <w:rsid w:val="00BA2BB7"/>
    <w:rsid w:val="00BA37F3"/>
    <w:rsid w:val="00BA42EE"/>
    <w:rsid w:val="00BA48F9"/>
    <w:rsid w:val="00BA4E05"/>
    <w:rsid w:val="00BA5870"/>
    <w:rsid w:val="00BA597A"/>
    <w:rsid w:val="00BB0DCA"/>
    <w:rsid w:val="00BB2666"/>
    <w:rsid w:val="00BB2B18"/>
    <w:rsid w:val="00BB36D2"/>
    <w:rsid w:val="00BB6B80"/>
    <w:rsid w:val="00BB7A53"/>
    <w:rsid w:val="00BC3773"/>
    <w:rsid w:val="00BC381A"/>
    <w:rsid w:val="00BC3EA0"/>
    <w:rsid w:val="00BC459B"/>
    <w:rsid w:val="00BC4C31"/>
    <w:rsid w:val="00BD0962"/>
    <w:rsid w:val="00BD1EBE"/>
    <w:rsid w:val="00BD1EED"/>
    <w:rsid w:val="00BD6473"/>
    <w:rsid w:val="00BD7572"/>
    <w:rsid w:val="00BE04C3"/>
    <w:rsid w:val="00BE1663"/>
    <w:rsid w:val="00BE1FC2"/>
    <w:rsid w:val="00BE3520"/>
    <w:rsid w:val="00BE510F"/>
    <w:rsid w:val="00BE545D"/>
    <w:rsid w:val="00BE5B81"/>
    <w:rsid w:val="00BE6545"/>
    <w:rsid w:val="00BE663B"/>
    <w:rsid w:val="00BE6A21"/>
    <w:rsid w:val="00BE6D49"/>
    <w:rsid w:val="00BE7CFA"/>
    <w:rsid w:val="00BF09AD"/>
    <w:rsid w:val="00BF0C3E"/>
    <w:rsid w:val="00BF0DA2"/>
    <w:rsid w:val="00BF109C"/>
    <w:rsid w:val="00BF1448"/>
    <w:rsid w:val="00BF1723"/>
    <w:rsid w:val="00BF1BB1"/>
    <w:rsid w:val="00BF2BA4"/>
    <w:rsid w:val="00BF306C"/>
    <w:rsid w:val="00BF34FA"/>
    <w:rsid w:val="00BF3A5D"/>
    <w:rsid w:val="00BF401E"/>
    <w:rsid w:val="00BF404A"/>
    <w:rsid w:val="00BF5127"/>
    <w:rsid w:val="00BF5E63"/>
    <w:rsid w:val="00BF72F8"/>
    <w:rsid w:val="00BF77A9"/>
    <w:rsid w:val="00C004B6"/>
    <w:rsid w:val="00C03C39"/>
    <w:rsid w:val="00C04618"/>
    <w:rsid w:val="00C047A7"/>
    <w:rsid w:val="00C05172"/>
    <w:rsid w:val="00C05DE5"/>
    <w:rsid w:val="00C066C1"/>
    <w:rsid w:val="00C07CD1"/>
    <w:rsid w:val="00C11144"/>
    <w:rsid w:val="00C134E5"/>
    <w:rsid w:val="00C137D4"/>
    <w:rsid w:val="00C146B9"/>
    <w:rsid w:val="00C16485"/>
    <w:rsid w:val="00C20859"/>
    <w:rsid w:val="00C20C27"/>
    <w:rsid w:val="00C231A5"/>
    <w:rsid w:val="00C23B1F"/>
    <w:rsid w:val="00C24672"/>
    <w:rsid w:val="00C24B52"/>
    <w:rsid w:val="00C26CA1"/>
    <w:rsid w:val="00C2713B"/>
    <w:rsid w:val="00C2796E"/>
    <w:rsid w:val="00C31EAC"/>
    <w:rsid w:val="00C33027"/>
    <w:rsid w:val="00C3566C"/>
    <w:rsid w:val="00C367B3"/>
    <w:rsid w:val="00C37667"/>
    <w:rsid w:val="00C435DB"/>
    <w:rsid w:val="00C44D73"/>
    <w:rsid w:val="00C46F15"/>
    <w:rsid w:val="00C47C00"/>
    <w:rsid w:val="00C50B42"/>
    <w:rsid w:val="00C516FF"/>
    <w:rsid w:val="00C52BFA"/>
    <w:rsid w:val="00C538BB"/>
    <w:rsid w:val="00C53D1D"/>
    <w:rsid w:val="00C53F26"/>
    <w:rsid w:val="00C540BC"/>
    <w:rsid w:val="00C5499D"/>
    <w:rsid w:val="00C54CED"/>
    <w:rsid w:val="00C6062E"/>
    <w:rsid w:val="00C62330"/>
    <w:rsid w:val="00C64F7D"/>
    <w:rsid w:val="00C654F8"/>
    <w:rsid w:val="00C66707"/>
    <w:rsid w:val="00C67309"/>
    <w:rsid w:val="00C71318"/>
    <w:rsid w:val="00C7135B"/>
    <w:rsid w:val="00C7193B"/>
    <w:rsid w:val="00C73785"/>
    <w:rsid w:val="00C7475C"/>
    <w:rsid w:val="00C75530"/>
    <w:rsid w:val="00C7614E"/>
    <w:rsid w:val="00C77BF1"/>
    <w:rsid w:val="00C80D60"/>
    <w:rsid w:val="00C826C9"/>
    <w:rsid w:val="00C82FBD"/>
    <w:rsid w:val="00C832C2"/>
    <w:rsid w:val="00C833E5"/>
    <w:rsid w:val="00C85267"/>
    <w:rsid w:val="00C857BE"/>
    <w:rsid w:val="00C8721B"/>
    <w:rsid w:val="00C87B99"/>
    <w:rsid w:val="00C9059D"/>
    <w:rsid w:val="00C92882"/>
    <w:rsid w:val="00C93092"/>
    <w:rsid w:val="00C93623"/>
    <w:rsid w:val="00C9372C"/>
    <w:rsid w:val="00C9470E"/>
    <w:rsid w:val="00C95060"/>
    <w:rsid w:val="00C9548B"/>
    <w:rsid w:val="00C9557D"/>
    <w:rsid w:val="00C956E0"/>
    <w:rsid w:val="00C95CEB"/>
    <w:rsid w:val="00C96159"/>
    <w:rsid w:val="00C962C8"/>
    <w:rsid w:val="00C97F26"/>
    <w:rsid w:val="00CA0737"/>
    <w:rsid w:val="00CA1054"/>
    <w:rsid w:val="00CA1F8A"/>
    <w:rsid w:val="00CA32FD"/>
    <w:rsid w:val="00CA589C"/>
    <w:rsid w:val="00CA63EB"/>
    <w:rsid w:val="00CA64EF"/>
    <w:rsid w:val="00CA69F1"/>
    <w:rsid w:val="00CB0E31"/>
    <w:rsid w:val="00CB375E"/>
    <w:rsid w:val="00CB4AA3"/>
    <w:rsid w:val="00CB657F"/>
    <w:rsid w:val="00CB6991"/>
    <w:rsid w:val="00CB7463"/>
    <w:rsid w:val="00CC0BEB"/>
    <w:rsid w:val="00CC1102"/>
    <w:rsid w:val="00CC5A29"/>
    <w:rsid w:val="00CC6194"/>
    <w:rsid w:val="00CC6305"/>
    <w:rsid w:val="00CC78A5"/>
    <w:rsid w:val="00CC7CF4"/>
    <w:rsid w:val="00CD0516"/>
    <w:rsid w:val="00CD17BD"/>
    <w:rsid w:val="00CD1EFD"/>
    <w:rsid w:val="00CD2FA0"/>
    <w:rsid w:val="00CD35E9"/>
    <w:rsid w:val="00CD42DC"/>
    <w:rsid w:val="00CD5BA9"/>
    <w:rsid w:val="00CD5E06"/>
    <w:rsid w:val="00CD5E21"/>
    <w:rsid w:val="00CD6958"/>
    <w:rsid w:val="00CD756B"/>
    <w:rsid w:val="00CE09BA"/>
    <w:rsid w:val="00CE0AB0"/>
    <w:rsid w:val="00CE153E"/>
    <w:rsid w:val="00CE5373"/>
    <w:rsid w:val="00CE61C0"/>
    <w:rsid w:val="00CE6366"/>
    <w:rsid w:val="00CE6859"/>
    <w:rsid w:val="00CE734F"/>
    <w:rsid w:val="00CF0D7E"/>
    <w:rsid w:val="00CF112E"/>
    <w:rsid w:val="00CF136D"/>
    <w:rsid w:val="00CF18BD"/>
    <w:rsid w:val="00CF1B85"/>
    <w:rsid w:val="00CF36E3"/>
    <w:rsid w:val="00CF3854"/>
    <w:rsid w:val="00CF53BE"/>
    <w:rsid w:val="00CF56ED"/>
    <w:rsid w:val="00CF5A5F"/>
    <w:rsid w:val="00CF5F4F"/>
    <w:rsid w:val="00D00333"/>
    <w:rsid w:val="00D00DE1"/>
    <w:rsid w:val="00D00EA0"/>
    <w:rsid w:val="00D034CD"/>
    <w:rsid w:val="00D04024"/>
    <w:rsid w:val="00D06140"/>
    <w:rsid w:val="00D1038B"/>
    <w:rsid w:val="00D11715"/>
    <w:rsid w:val="00D1284B"/>
    <w:rsid w:val="00D139CD"/>
    <w:rsid w:val="00D143B7"/>
    <w:rsid w:val="00D155C8"/>
    <w:rsid w:val="00D15640"/>
    <w:rsid w:val="00D15AC5"/>
    <w:rsid w:val="00D16734"/>
    <w:rsid w:val="00D172A8"/>
    <w:rsid w:val="00D218DC"/>
    <w:rsid w:val="00D21EE9"/>
    <w:rsid w:val="00D22213"/>
    <w:rsid w:val="00D237DB"/>
    <w:rsid w:val="00D2458D"/>
    <w:rsid w:val="00D24E56"/>
    <w:rsid w:val="00D259FB"/>
    <w:rsid w:val="00D3062B"/>
    <w:rsid w:val="00D31643"/>
    <w:rsid w:val="00D31AEB"/>
    <w:rsid w:val="00D32ECD"/>
    <w:rsid w:val="00D343F2"/>
    <w:rsid w:val="00D34B27"/>
    <w:rsid w:val="00D361E4"/>
    <w:rsid w:val="00D370C5"/>
    <w:rsid w:val="00D37A41"/>
    <w:rsid w:val="00D42A8F"/>
    <w:rsid w:val="00D437E2"/>
    <w:rsid w:val="00D439F6"/>
    <w:rsid w:val="00D44B6B"/>
    <w:rsid w:val="00D459C6"/>
    <w:rsid w:val="00D45D0A"/>
    <w:rsid w:val="00D462EE"/>
    <w:rsid w:val="00D5040A"/>
    <w:rsid w:val="00D50729"/>
    <w:rsid w:val="00D50C19"/>
    <w:rsid w:val="00D51346"/>
    <w:rsid w:val="00D53224"/>
    <w:rsid w:val="00D5379E"/>
    <w:rsid w:val="00D56076"/>
    <w:rsid w:val="00D60E82"/>
    <w:rsid w:val="00D62643"/>
    <w:rsid w:val="00D64C0F"/>
    <w:rsid w:val="00D67952"/>
    <w:rsid w:val="00D701EE"/>
    <w:rsid w:val="00D70794"/>
    <w:rsid w:val="00D70EB7"/>
    <w:rsid w:val="00D7205E"/>
    <w:rsid w:val="00D728D1"/>
    <w:rsid w:val="00D72EFE"/>
    <w:rsid w:val="00D73BBA"/>
    <w:rsid w:val="00D75D3E"/>
    <w:rsid w:val="00D76227"/>
    <w:rsid w:val="00D76F13"/>
    <w:rsid w:val="00D77DF1"/>
    <w:rsid w:val="00D80BA6"/>
    <w:rsid w:val="00D81FAD"/>
    <w:rsid w:val="00D82A6A"/>
    <w:rsid w:val="00D83628"/>
    <w:rsid w:val="00D86AFF"/>
    <w:rsid w:val="00D9382D"/>
    <w:rsid w:val="00D941B1"/>
    <w:rsid w:val="00D953C8"/>
    <w:rsid w:val="00D95A44"/>
    <w:rsid w:val="00D95D16"/>
    <w:rsid w:val="00D96149"/>
    <w:rsid w:val="00D97C76"/>
    <w:rsid w:val="00DB02B4"/>
    <w:rsid w:val="00DB1A2B"/>
    <w:rsid w:val="00DB210A"/>
    <w:rsid w:val="00DB24A1"/>
    <w:rsid w:val="00DB2EEA"/>
    <w:rsid w:val="00DB2EEC"/>
    <w:rsid w:val="00DB5246"/>
    <w:rsid w:val="00DB538D"/>
    <w:rsid w:val="00DB5A30"/>
    <w:rsid w:val="00DB63E7"/>
    <w:rsid w:val="00DB6C0B"/>
    <w:rsid w:val="00DC1522"/>
    <w:rsid w:val="00DC1729"/>
    <w:rsid w:val="00DC1AF8"/>
    <w:rsid w:val="00DC26CC"/>
    <w:rsid w:val="00DC275C"/>
    <w:rsid w:val="00DC4B0D"/>
    <w:rsid w:val="00DC5A49"/>
    <w:rsid w:val="00DC6078"/>
    <w:rsid w:val="00DC78FE"/>
    <w:rsid w:val="00DC7B55"/>
    <w:rsid w:val="00DC7FE1"/>
    <w:rsid w:val="00DD0E5F"/>
    <w:rsid w:val="00DD23F0"/>
    <w:rsid w:val="00DD3F3F"/>
    <w:rsid w:val="00DD5572"/>
    <w:rsid w:val="00DE0118"/>
    <w:rsid w:val="00DE0452"/>
    <w:rsid w:val="00DE2858"/>
    <w:rsid w:val="00DE5D80"/>
    <w:rsid w:val="00DE716C"/>
    <w:rsid w:val="00DE7977"/>
    <w:rsid w:val="00DF26DA"/>
    <w:rsid w:val="00DF58CD"/>
    <w:rsid w:val="00DF65DE"/>
    <w:rsid w:val="00DF7C96"/>
    <w:rsid w:val="00E0083A"/>
    <w:rsid w:val="00E00BD7"/>
    <w:rsid w:val="00E014AE"/>
    <w:rsid w:val="00E019A5"/>
    <w:rsid w:val="00E0203B"/>
    <w:rsid w:val="00E021EC"/>
    <w:rsid w:val="00E02EC8"/>
    <w:rsid w:val="00E037F5"/>
    <w:rsid w:val="00E04ECB"/>
    <w:rsid w:val="00E05A09"/>
    <w:rsid w:val="00E06133"/>
    <w:rsid w:val="00E06CA1"/>
    <w:rsid w:val="00E10154"/>
    <w:rsid w:val="00E10D97"/>
    <w:rsid w:val="00E11074"/>
    <w:rsid w:val="00E116F5"/>
    <w:rsid w:val="00E120F7"/>
    <w:rsid w:val="00E16BEE"/>
    <w:rsid w:val="00E17263"/>
    <w:rsid w:val="00E172B8"/>
    <w:rsid w:val="00E17FB4"/>
    <w:rsid w:val="00E20B75"/>
    <w:rsid w:val="00E20F2B"/>
    <w:rsid w:val="00E214F2"/>
    <w:rsid w:val="00E228B9"/>
    <w:rsid w:val="00E2305E"/>
    <w:rsid w:val="00E2371E"/>
    <w:rsid w:val="00E23F60"/>
    <w:rsid w:val="00E24A0C"/>
    <w:rsid w:val="00E24BD7"/>
    <w:rsid w:val="00E25641"/>
    <w:rsid w:val="00E25E84"/>
    <w:rsid w:val="00E26523"/>
    <w:rsid w:val="00E26809"/>
    <w:rsid w:val="00E31058"/>
    <w:rsid w:val="00E33902"/>
    <w:rsid w:val="00E339D8"/>
    <w:rsid w:val="00E3412D"/>
    <w:rsid w:val="00E42B2F"/>
    <w:rsid w:val="00E43399"/>
    <w:rsid w:val="00E433BF"/>
    <w:rsid w:val="00E441B4"/>
    <w:rsid w:val="00E44B2A"/>
    <w:rsid w:val="00E50463"/>
    <w:rsid w:val="00E51810"/>
    <w:rsid w:val="00E51886"/>
    <w:rsid w:val="00E52379"/>
    <w:rsid w:val="00E554F4"/>
    <w:rsid w:val="00E557D3"/>
    <w:rsid w:val="00E572DF"/>
    <w:rsid w:val="00E57322"/>
    <w:rsid w:val="00E5770E"/>
    <w:rsid w:val="00E61AA3"/>
    <w:rsid w:val="00E628CB"/>
    <w:rsid w:val="00E62AD9"/>
    <w:rsid w:val="00E62D70"/>
    <w:rsid w:val="00E638C8"/>
    <w:rsid w:val="00E63E25"/>
    <w:rsid w:val="00E63F43"/>
    <w:rsid w:val="00E647B2"/>
    <w:rsid w:val="00E6606D"/>
    <w:rsid w:val="00E66B93"/>
    <w:rsid w:val="00E67FE1"/>
    <w:rsid w:val="00E74341"/>
    <w:rsid w:val="00E7509B"/>
    <w:rsid w:val="00E758A0"/>
    <w:rsid w:val="00E76125"/>
    <w:rsid w:val="00E7640C"/>
    <w:rsid w:val="00E7657D"/>
    <w:rsid w:val="00E76E86"/>
    <w:rsid w:val="00E76F9F"/>
    <w:rsid w:val="00E80E39"/>
    <w:rsid w:val="00E83FD5"/>
    <w:rsid w:val="00E841B3"/>
    <w:rsid w:val="00E84EE7"/>
    <w:rsid w:val="00E851F7"/>
    <w:rsid w:val="00E864DF"/>
    <w:rsid w:val="00E86590"/>
    <w:rsid w:val="00E907FF"/>
    <w:rsid w:val="00E930F8"/>
    <w:rsid w:val="00E93121"/>
    <w:rsid w:val="00E9471A"/>
    <w:rsid w:val="00EA0061"/>
    <w:rsid w:val="00EA0361"/>
    <w:rsid w:val="00EA0C22"/>
    <w:rsid w:val="00EA3A44"/>
    <w:rsid w:val="00EA42D1"/>
    <w:rsid w:val="00EA42EF"/>
    <w:rsid w:val="00EA5DDE"/>
    <w:rsid w:val="00EA7D91"/>
    <w:rsid w:val="00EB0120"/>
    <w:rsid w:val="00EB2DD1"/>
    <w:rsid w:val="00EB38EC"/>
    <w:rsid w:val="00EB6B37"/>
    <w:rsid w:val="00EC29FE"/>
    <w:rsid w:val="00EC3A1B"/>
    <w:rsid w:val="00EC3C70"/>
    <w:rsid w:val="00EC3FD5"/>
    <w:rsid w:val="00EC5F64"/>
    <w:rsid w:val="00EC6294"/>
    <w:rsid w:val="00EC6B74"/>
    <w:rsid w:val="00EC6F9D"/>
    <w:rsid w:val="00ED09A1"/>
    <w:rsid w:val="00ED0A27"/>
    <w:rsid w:val="00ED107B"/>
    <w:rsid w:val="00ED1BFC"/>
    <w:rsid w:val="00ED3A3D"/>
    <w:rsid w:val="00ED4169"/>
    <w:rsid w:val="00ED538A"/>
    <w:rsid w:val="00ED5915"/>
    <w:rsid w:val="00ED5F06"/>
    <w:rsid w:val="00ED6FBC"/>
    <w:rsid w:val="00EE0C88"/>
    <w:rsid w:val="00EE134C"/>
    <w:rsid w:val="00EE19A9"/>
    <w:rsid w:val="00EE2610"/>
    <w:rsid w:val="00EE2F16"/>
    <w:rsid w:val="00EE3616"/>
    <w:rsid w:val="00EE3861"/>
    <w:rsid w:val="00EE71BB"/>
    <w:rsid w:val="00EE783B"/>
    <w:rsid w:val="00EF290C"/>
    <w:rsid w:val="00EF2E73"/>
    <w:rsid w:val="00EF7683"/>
    <w:rsid w:val="00EF7A2D"/>
    <w:rsid w:val="00F004CA"/>
    <w:rsid w:val="00F026DD"/>
    <w:rsid w:val="00F04F8D"/>
    <w:rsid w:val="00F0691C"/>
    <w:rsid w:val="00F10817"/>
    <w:rsid w:val="00F10AD0"/>
    <w:rsid w:val="00F116CC"/>
    <w:rsid w:val="00F121CA"/>
    <w:rsid w:val="00F12BD1"/>
    <w:rsid w:val="00F13E55"/>
    <w:rsid w:val="00F15327"/>
    <w:rsid w:val="00F168CF"/>
    <w:rsid w:val="00F20C21"/>
    <w:rsid w:val="00F23561"/>
    <w:rsid w:val="00F2555C"/>
    <w:rsid w:val="00F30E4C"/>
    <w:rsid w:val="00F30F12"/>
    <w:rsid w:val="00F31BC7"/>
    <w:rsid w:val="00F31DF3"/>
    <w:rsid w:val="00F32BED"/>
    <w:rsid w:val="00F32CE7"/>
    <w:rsid w:val="00F33AE5"/>
    <w:rsid w:val="00F3597D"/>
    <w:rsid w:val="00F35E6B"/>
    <w:rsid w:val="00F36309"/>
    <w:rsid w:val="00F40EAB"/>
    <w:rsid w:val="00F4376D"/>
    <w:rsid w:val="00F438A1"/>
    <w:rsid w:val="00F445F6"/>
    <w:rsid w:val="00F45399"/>
    <w:rsid w:val="00F465EA"/>
    <w:rsid w:val="00F47731"/>
    <w:rsid w:val="00F50C41"/>
    <w:rsid w:val="00F50E16"/>
    <w:rsid w:val="00F53573"/>
    <w:rsid w:val="00F540AD"/>
    <w:rsid w:val="00F54E7B"/>
    <w:rsid w:val="00F55A88"/>
    <w:rsid w:val="00F566F1"/>
    <w:rsid w:val="00F56766"/>
    <w:rsid w:val="00F568CA"/>
    <w:rsid w:val="00F5692D"/>
    <w:rsid w:val="00F5711C"/>
    <w:rsid w:val="00F5754E"/>
    <w:rsid w:val="00F57ABF"/>
    <w:rsid w:val="00F61361"/>
    <w:rsid w:val="00F618E6"/>
    <w:rsid w:val="00F625FA"/>
    <w:rsid w:val="00F63C4A"/>
    <w:rsid w:val="00F709FE"/>
    <w:rsid w:val="00F73610"/>
    <w:rsid w:val="00F74005"/>
    <w:rsid w:val="00F75567"/>
    <w:rsid w:val="00F765A9"/>
    <w:rsid w:val="00F76884"/>
    <w:rsid w:val="00F76A4C"/>
    <w:rsid w:val="00F8096F"/>
    <w:rsid w:val="00F82141"/>
    <w:rsid w:val="00F82ADC"/>
    <w:rsid w:val="00F82BD6"/>
    <w:rsid w:val="00F82F96"/>
    <w:rsid w:val="00F83778"/>
    <w:rsid w:val="00F83D24"/>
    <w:rsid w:val="00F83DD9"/>
    <w:rsid w:val="00F83F40"/>
    <w:rsid w:val="00F84EBB"/>
    <w:rsid w:val="00F855E3"/>
    <w:rsid w:val="00F878D4"/>
    <w:rsid w:val="00F905D4"/>
    <w:rsid w:val="00F92691"/>
    <w:rsid w:val="00F92B36"/>
    <w:rsid w:val="00F93A1B"/>
    <w:rsid w:val="00F94A09"/>
    <w:rsid w:val="00F969F4"/>
    <w:rsid w:val="00F96ECA"/>
    <w:rsid w:val="00FA117A"/>
    <w:rsid w:val="00FA1AE0"/>
    <w:rsid w:val="00FA25E2"/>
    <w:rsid w:val="00FA32F7"/>
    <w:rsid w:val="00FA5690"/>
    <w:rsid w:val="00FB12C9"/>
    <w:rsid w:val="00FB2623"/>
    <w:rsid w:val="00FB386A"/>
    <w:rsid w:val="00FB404F"/>
    <w:rsid w:val="00FB4088"/>
    <w:rsid w:val="00FB45CC"/>
    <w:rsid w:val="00FB6725"/>
    <w:rsid w:val="00FC0021"/>
    <w:rsid w:val="00FC0786"/>
    <w:rsid w:val="00FC2EBB"/>
    <w:rsid w:val="00FC2F65"/>
    <w:rsid w:val="00FC3EDA"/>
    <w:rsid w:val="00FC49EF"/>
    <w:rsid w:val="00FC562F"/>
    <w:rsid w:val="00FC582A"/>
    <w:rsid w:val="00FC77A8"/>
    <w:rsid w:val="00FD002B"/>
    <w:rsid w:val="00FD0141"/>
    <w:rsid w:val="00FD0193"/>
    <w:rsid w:val="00FD0E10"/>
    <w:rsid w:val="00FD0EF7"/>
    <w:rsid w:val="00FD1BF2"/>
    <w:rsid w:val="00FD48CD"/>
    <w:rsid w:val="00FD7862"/>
    <w:rsid w:val="00FE0193"/>
    <w:rsid w:val="00FE300E"/>
    <w:rsid w:val="00FE36E2"/>
    <w:rsid w:val="00FE4D9C"/>
    <w:rsid w:val="00FF11AD"/>
    <w:rsid w:val="00FF2971"/>
    <w:rsid w:val="00FF34D4"/>
    <w:rsid w:val="00FF442D"/>
    <w:rsid w:val="00FF4A9B"/>
    <w:rsid w:val="00FF644C"/>
    <w:rsid w:val="00FF6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4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D6C"/>
    <w:rPr>
      <w:rFonts w:eastAsiaTheme="minorHAnsi" w:cs="Calibri"/>
      <w:sz w:val="22"/>
      <w:szCs w:val="22"/>
      <w:lang w:eastAsia="en-US"/>
    </w:rPr>
  </w:style>
  <w:style w:type="paragraph" w:styleId="Nagwek1">
    <w:name w:val="heading 1"/>
    <w:basedOn w:val="Normalny"/>
    <w:next w:val="Normalny"/>
    <w:qFormat/>
    <w:locked/>
    <w:rsid w:val="006176ED"/>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371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Numerowanie,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AkapitzlistZnak">
    <w:name w:val="Akapit z listą Znak"/>
    <w:aliases w:val="Numerowanie Znak,List Paragraph Znak"/>
    <w:link w:val="Akapitzlist"/>
    <w:uiPriority w:val="34"/>
    <w:locked/>
    <w:rsid w:val="00957275"/>
    <w:rPr>
      <w:sz w:val="22"/>
      <w:szCs w:val="22"/>
      <w:lang w:eastAsia="en-US"/>
    </w:rPr>
  </w:style>
  <w:style w:type="paragraph" w:styleId="Tekstpodstawowywcity2">
    <w:name w:val="Body Text Indent 2"/>
    <w:basedOn w:val="Normalny"/>
    <w:link w:val="Tekstpodstawowywcity2Znak"/>
    <w:rsid w:val="00893F7B"/>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893F7B"/>
    <w:rPr>
      <w:rFonts w:ascii="Times New Roman" w:eastAsia="Times New Roman" w:hAnsi="Times New Roman"/>
      <w:sz w:val="24"/>
      <w:szCs w:val="24"/>
    </w:rPr>
  </w:style>
  <w:style w:type="paragraph" w:customStyle="1" w:styleId="TableParagraph">
    <w:name w:val="Table Paragraph"/>
    <w:basedOn w:val="Normalny"/>
    <w:uiPriority w:val="1"/>
    <w:qFormat/>
    <w:rsid w:val="00D15640"/>
    <w:pPr>
      <w:widowControl w:val="0"/>
      <w:autoSpaceDE w:val="0"/>
      <w:autoSpaceDN w:val="0"/>
      <w:adjustRightInd w:val="0"/>
    </w:pPr>
    <w:rPr>
      <w:rFonts w:ascii="Times New Roman" w:eastAsiaTheme="minorEastAsia" w:hAnsi="Times New Roman"/>
      <w:sz w:val="24"/>
      <w:szCs w:val="24"/>
      <w:lang w:eastAsia="pl-PL"/>
    </w:rPr>
  </w:style>
  <w:style w:type="table" w:customStyle="1" w:styleId="Tabelasiatki21">
    <w:name w:val="Tabela siatki 21"/>
    <w:basedOn w:val="Standardowy"/>
    <w:uiPriority w:val="47"/>
    <w:rsid w:val="00BF3A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semiHidden/>
    <w:unhideWhenUsed/>
    <w:rsid w:val="00D343F2"/>
    <w:pPr>
      <w:spacing w:before="100" w:beforeAutospacing="1" w:after="100" w:afterAutospacing="1"/>
    </w:pPr>
    <w:rPr>
      <w:rFonts w:ascii="Times New Roman" w:eastAsia="Times New Roman" w:hAnsi="Times New Roman"/>
      <w:sz w:val="24"/>
      <w:szCs w:val="24"/>
      <w:lang w:eastAsia="pl-PL"/>
    </w:rPr>
  </w:style>
  <w:style w:type="paragraph" w:customStyle="1" w:styleId="przypisdolny">
    <w:name w:val="przypis dolny"/>
    <w:basedOn w:val="Tekstprzypisudolnego"/>
    <w:link w:val="przypisdolnyZnak"/>
    <w:qFormat/>
    <w:rsid w:val="001724AC"/>
  </w:style>
  <w:style w:type="character" w:customStyle="1" w:styleId="przypisdolnyZnak">
    <w:name w:val="przypis dolny Znak"/>
    <w:basedOn w:val="TekstprzypisudolnegoZnak"/>
    <w:link w:val="przypisdolny"/>
    <w:rsid w:val="001724AC"/>
    <w:rPr>
      <w:lang w:eastAsia="en-US"/>
    </w:rPr>
  </w:style>
  <w:style w:type="paragraph" w:styleId="Poprawka">
    <w:name w:val="Revision"/>
    <w:hidden/>
    <w:uiPriority w:val="99"/>
    <w:semiHidden/>
    <w:rsid w:val="00C2713B"/>
    <w:rPr>
      <w:sz w:val="22"/>
      <w:szCs w:val="22"/>
      <w:lang w:eastAsia="en-US"/>
    </w:rPr>
  </w:style>
  <w:style w:type="paragraph" w:styleId="Tekstpodstawowy2">
    <w:name w:val="Body Text 2"/>
    <w:basedOn w:val="Normalny"/>
    <w:link w:val="Tekstpodstawowy2Znak"/>
    <w:uiPriority w:val="99"/>
    <w:unhideWhenUsed/>
    <w:rsid w:val="000C2B69"/>
    <w:pPr>
      <w:spacing w:after="120" w:line="480" w:lineRule="auto"/>
    </w:pPr>
  </w:style>
  <w:style w:type="character" w:customStyle="1" w:styleId="Tekstpodstawowy2Znak">
    <w:name w:val="Tekst podstawowy 2 Znak"/>
    <w:basedOn w:val="Domylnaczcionkaakapitu"/>
    <w:link w:val="Tekstpodstawowy2"/>
    <w:uiPriority w:val="99"/>
    <w:rsid w:val="000C2B69"/>
    <w:rPr>
      <w:rFonts w:eastAsiaTheme="minorHAnsi" w:cs="Calibri"/>
      <w:sz w:val="22"/>
      <w:szCs w:val="22"/>
      <w:lang w:eastAsia="en-US"/>
    </w:rPr>
  </w:style>
  <w:style w:type="character" w:customStyle="1" w:styleId="Nagwek2Znak">
    <w:name w:val="Nagłówek 2 Znak"/>
    <w:basedOn w:val="Domylnaczcionkaakapitu"/>
    <w:link w:val="Nagwek2"/>
    <w:rsid w:val="00371124"/>
    <w:rPr>
      <w:rFonts w:asciiTheme="majorHAnsi" w:eastAsiaTheme="majorEastAsia" w:hAnsiTheme="majorHAnsi" w:cstheme="majorBidi"/>
      <w:b/>
      <w:bCs/>
      <w:color w:val="4F81BD" w:themeColor="accent1"/>
      <w:sz w:val="26"/>
      <w:szCs w:val="26"/>
      <w:lang w:eastAsia="en-US"/>
    </w:rPr>
  </w:style>
  <w:style w:type="character" w:styleId="Pogrubienie">
    <w:name w:val="Strong"/>
    <w:basedOn w:val="Domylnaczcionkaakapitu"/>
    <w:uiPriority w:val="22"/>
    <w:qFormat/>
    <w:locked/>
    <w:rsid w:val="005F2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D6C"/>
    <w:rPr>
      <w:rFonts w:eastAsiaTheme="minorHAnsi" w:cs="Calibri"/>
      <w:sz w:val="22"/>
      <w:szCs w:val="22"/>
      <w:lang w:eastAsia="en-US"/>
    </w:rPr>
  </w:style>
  <w:style w:type="paragraph" w:styleId="Nagwek1">
    <w:name w:val="heading 1"/>
    <w:basedOn w:val="Normalny"/>
    <w:next w:val="Normalny"/>
    <w:qFormat/>
    <w:locked/>
    <w:rsid w:val="006176ED"/>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371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Numerowanie,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AkapitzlistZnak">
    <w:name w:val="Akapit z listą Znak"/>
    <w:aliases w:val="Numerowanie Znak,List Paragraph Znak"/>
    <w:link w:val="Akapitzlist"/>
    <w:uiPriority w:val="34"/>
    <w:locked/>
    <w:rsid w:val="00957275"/>
    <w:rPr>
      <w:sz w:val="22"/>
      <w:szCs w:val="22"/>
      <w:lang w:eastAsia="en-US"/>
    </w:rPr>
  </w:style>
  <w:style w:type="paragraph" w:styleId="Tekstpodstawowywcity2">
    <w:name w:val="Body Text Indent 2"/>
    <w:basedOn w:val="Normalny"/>
    <w:link w:val="Tekstpodstawowywcity2Znak"/>
    <w:rsid w:val="00893F7B"/>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893F7B"/>
    <w:rPr>
      <w:rFonts w:ascii="Times New Roman" w:eastAsia="Times New Roman" w:hAnsi="Times New Roman"/>
      <w:sz w:val="24"/>
      <w:szCs w:val="24"/>
    </w:rPr>
  </w:style>
  <w:style w:type="paragraph" w:customStyle="1" w:styleId="TableParagraph">
    <w:name w:val="Table Paragraph"/>
    <w:basedOn w:val="Normalny"/>
    <w:uiPriority w:val="1"/>
    <w:qFormat/>
    <w:rsid w:val="00D15640"/>
    <w:pPr>
      <w:widowControl w:val="0"/>
      <w:autoSpaceDE w:val="0"/>
      <w:autoSpaceDN w:val="0"/>
      <w:adjustRightInd w:val="0"/>
    </w:pPr>
    <w:rPr>
      <w:rFonts w:ascii="Times New Roman" w:eastAsiaTheme="minorEastAsia" w:hAnsi="Times New Roman"/>
      <w:sz w:val="24"/>
      <w:szCs w:val="24"/>
      <w:lang w:eastAsia="pl-PL"/>
    </w:rPr>
  </w:style>
  <w:style w:type="table" w:customStyle="1" w:styleId="Tabelasiatki21">
    <w:name w:val="Tabela siatki 21"/>
    <w:basedOn w:val="Standardowy"/>
    <w:uiPriority w:val="47"/>
    <w:rsid w:val="00BF3A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semiHidden/>
    <w:unhideWhenUsed/>
    <w:rsid w:val="00D343F2"/>
    <w:pPr>
      <w:spacing w:before="100" w:beforeAutospacing="1" w:after="100" w:afterAutospacing="1"/>
    </w:pPr>
    <w:rPr>
      <w:rFonts w:ascii="Times New Roman" w:eastAsia="Times New Roman" w:hAnsi="Times New Roman"/>
      <w:sz w:val="24"/>
      <w:szCs w:val="24"/>
      <w:lang w:eastAsia="pl-PL"/>
    </w:rPr>
  </w:style>
  <w:style w:type="paragraph" w:customStyle="1" w:styleId="przypisdolny">
    <w:name w:val="przypis dolny"/>
    <w:basedOn w:val="Tekstprzypisudolnego"/>
    <w:link w:val="przypisdolnyZnak"/>
    <w:qFormat/>
    <w:rsid w:val="001724AC"/>
  </w:style>
  <w:style w:type="character" w:customStyle="1" w:styleId="przypisdolnyZnak">
    <w:name w:val="przypis dolny Znak"/>
    <w:basedOn w:val="TekstprzypisudolnegoZnak"/>
    <w:link w:val="przypisdolny"/>
    <w:rsid w:val="001724AC"/>
    <w:rPr>
      <w:lang w:eastAsia="en-US"/>
    </w:rPr>
  </w:style>
  <w:style w:type="paragraph" w:styleId="Poprawka">
    <w:name w:val="Revision"/>
    <w:hidden/>
    <w:uiPriority w:val="99"/>
    <w:semiHidden/>
    <w:rsid w:val="00C2713B"/>
    <w:rPr>
      <w:sz w:val="22"/>
      <w:szCs w:val="22"/>
      <w:lang w:eastAsia="en-US"/>
    </w:rPr>
  </w:style>
  <w:style w:type="paragraph" w:styleId="Tekstpodstawowy2">
    <w:name w:val="Body Text 2"/>
    <w:basedOn w:val="Normalny"/>
    <w:link w:val="Tekstpodstawowy2Znak"/>
    <w:uiPriority w:val="99"/>
    <w:unhideWhenUsed/>
    <w:rsid w:val="000C2B69"/>
    <w:pPr>
      <w:spacing w:after="120" w:line="480" w:lineRule="auto"/>
    </w:pPr>
  </w:style>
  <w:style w:type="character" w:customStyle="1" w:styleId="Tekstpodstawowy2Znak">
    <w:name w:val="Tekst podstawowy 2 Znak"/>
    <w:basedOn w:val="Domylnaczcionkaakapitu"/>
    <w:link w:val="Tekstpodstawowy2"/>
    <w:uiPriority w:val="99"/>
    <w:rsid w:val="000C2B69"/>
    <w:rPr>
      <w:rFonts w:eastAsiaTheme="minorHAnsi" w:cs="Calibri"/>
      <w:sz w:val="22"/>
      <w:szCs w:val="22"/>
      <w:lang w:eastAsia="en-US"/>
    </w:rPr>
  </w:style>
  <w:style w:type="character" w:customStyle="1" w:styleId="Nagwek2Znak">
    <w:name w:val="Nagłówek 2 Znak"/>
    <w:basedOn w:val="Domylnaczcionkaakapitu"/>
    <w:link w:val="Nagwek2"/>
    <w:rsid w:val="00371124"/>
    <w:rPr>
      <w:rFonts w:asciiTheme="majorHAnsi" w:eastAsiaTheme="majorEastAsia" w:hAnsiTheme="majorHAnsi" w:cstheme="majorBidi"/>
      <w:b/>
      <w:bCs/>
      <w:color w:val="4F81BD" w:themeColor="accent1"/>
      <w:sz w:val="26"/>
      <w:szCs w:val="26"/>
      <w:lang w:eastAsia="en-US"/>
    </w:rPr>
  </w:style>
  <w:style w:type="character" w:styleId="Pogrubienie">
    <w:name w:val="Strong"/>
    <w:basedOn w:val="Domylnaczcionkaakapitu"/>
    <w:uiPriority w:val="22"/>
    <w:qFormat/>
    <w:locked/>
    <w:rsid w:val="005F2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6540293">
      <w:bodyDiv w:val="1"/>
      <w:marLeft w:val="0"/>
      <w:marRight w:val="0"/>
      <w:marTop w:val="0"/>
      <w:marBottom w:val="0"/>
      <w:divBdr>
        <w:top w:val="none" w:sz="0" w:space="0" w:color="auto"/>
        <w:left w:val="none" w:sz="0" w:space="0" w:color="auto"/>
        <w:bottom w:val="none" w:sz="0" w:space="0" w:color="auto"/>
        <w:right w:val="none" w:sz="0" w:space="0" w:color="auto"/>
      </w:divBdr>
      <w:divsChild>
        <w:div w:id="657078896">
          <w:marLeft w:val="360"/>
          <w:marRight w:val="0"/>
          <w:marTop w:val="200"/>
          <w:marBottom w:val="0"/>
          <w:divBdr>
            <w:top w:val="none" w:sz="0" w:space="0" w:color="auto"/>
            <w:left w:val="none" w:sz="0" w:space="0" w:color="auto"/>
            <w:bottom w:val="none" w:sz="0" w:space="0" w:color="auto"/>
            <w:right w:val="none" w:sz="0" w:space="0" w:color="auto"/>
          </w:divBdr>
        </w:div>
      </w:divsChild>
    </w:div>
    <w:div w:id="88819911">
      <w:bodyDiv w:val="1"/>
      <w:marLeft w:val="0"/>
      <w:marRight w:val="0"/>
      <w:marTop w:val="0"/>
      <w:marBottom w:val="0"/>
      <w:divBdr>
        <w:top w:val="none" w:sz="0" w:space="0" w:color="auto"/>
        <w:left w:val="none" w:sz="0" w:space="0" w:color="auto"/>
        <w:bottom w:val="none" w:sz="0" w:space="0" w:color="auto"/>
        <w:right w:val="none" w:sz="0" w:space="0" w:color="auto"/>
      </w:divBdr>
      <w:divsChild>
        <w:div w:id="1759668925">
          <w:marLeft w:val="360"/>
          <w:marRight w:val="0"/>
          <w:marTop w:val="200"/>
          <w:marBottom w:val="0"/>
          <w:divBdr>
            <w:top w:val="none" w:sz="0" w:space="0" w:color="auto"/>
            <w:left w:val="none" w:sz="0" w:space="0" w:color="auto"/>
            <w:bottom w:val="none" w:sz="0" w:space="0" w:color="auto"/>
            <w:right w:val="none" w:sz="0" w:space="0" w:color="auto"/>
          </w:divBdr>
        </w:div>
      </w:divsChild>
    </w:div>
    <w:div w:id="136922670">
      <w:bodyDiv w:val="1"/>
      <w:marLeft w:val="0"/>
      <w:marRight w:val="0"/>
      <w:marTop w:val="0"/>
      <w:marBottom w:val="0"/>
      <w:divBdr>
        <w:top w:val="none" w:sz="0" w:space="0" w:color="auto"/>
        <w:left w:val="none" w:sz="0" w:space="0" w:color="auto"/>
        <w:bottom w:val="none" w:sz="0" w:space="0" w:color="auto"/>
        <w:right w:val="none" w:sz="0" w:space="0" w:color="auto"/>
      </w:divBdr>
      <w:divsChild>
        <w:div w:id="409541489">
          <w:marLeft w:val="547"/>
          <w:marRight w:val="0"/>
          <w:marTop w:val="0"/>
          <w:marBottom w:val="0"/>
          <w:divBdr>
            <w:top w:val="none" w:sz="0" w:space="0" w:color="auto"/>
            <w:left w:val="none" w:sz="0" w:space="0" w:color="auto"/>
            <w:bottom w:val="none" w:sz="0" w:space="0" w:color="auto"/>
            <w:right w:val="none" w:sz="0" w:space="0" w:color="auto"/>
          </w:divBdr>
        </w:div>
        <w:div w:id="1069573454">
          <w:marLeft w:val="547"/>
          <w:marRight w:val="0"/>
          <w:marTop w:val="0"/>
          <w:marBottom w:val="0"/>
          <w:divBdr>
            <w:top w:val="none" w:sz="0" w:space="0" w:color="auto"/>
            <w:left w:val="none" w:sz="0" w:space="0" w:color="auto"/>
            <w:bottom w:val="none" w:sz="0" w:space="0" w:color="auto"/>
            <w:right w:val="none" w:sz="0" w:space="0" w:color="auto"/>
          </w:divBdr>
        </w:div>
        <w:div w:id="1089814392">
          <w:marLeft w:val="547"/>
          <w:marRight w:val="0"/>
          <w:marTop w:val="0"/>
          <w:marBottom w:val="0"/>
          <w:divBdr>
            <w:top w:val="none" w:sz="0" w:space="0" w:color="auto"/>
            <w:left w:val="none" w:sz="0" w:space="0" w:color="auto"/>
            <w:bottom w:val="none" w:sz="0" w:space="0" w:color="auto"/>
            <w:right w:val="none" w:sz="0" w:space="0" w:color="auto"/>
          </w:divBdr>
        </w:div>
        <w:div w:id="1420129491">
          <w:marLeft w:val="547"/>
          <w:marRight w:val="0"/>
          <w:marTop w:val="0"/>
          <w:marBottom w:val="0"/>
          <w:divBdr>
            <w:top w:val="none" w:sz="0" w:space="0" w:color="auto"/>
            <w:left w:val="none" w:sz="0" w:space="0" w:color="auto"/>
            <w:bottom w:val="none" w:sz="0" w:space="0" w:color="auto"/>
            <w:right w:val="none" w:sz="0" w:space="0" w:color="auto"/>
          </w:divBdr>
        </w:div>
      </w:divsChild>
    </w:div>
    <w:div w:id="139351326">
      <w:bodyDiv w:val="1"/>
      <w:marLeft w:val="0"/>
      <w:marRight w:val="0"/>
      <w:marTop w:val="0"/>
      <w:marBottom w:val="0"/>
      <w:divBdr>
        <w:top w:val="none" w:sz="0" w:space="0" w:color="auto"/>
        <w:left w:val="none" w:sz="0" w:space="0" w:color="auto"/>
        <w:bottom w:val="none" w:sz="0" w:space="0" w:color="auto"/>
        <w:right w:val="none" w:sz="0" w:space="0" w:color="auto"/>
      </w:divBdr>
      <w:divsChild>
        <w:div w:id="37634176">
          <w:marLeft w:val="360"/>
          <w:marRight w:val="0"/>
          <w:marTop w:val="200"/>
          <w:marBottom w:val="0"/>
          <w:divBdr>
            <w:top w:val="none" w:sz="0" w:space="0" w:color="auto"/>
            <w:left w:val="none" w:sz="0" w:space="0" w:color="auto"/>
            <w:bottom w:val="none" w:sz="0" w:space="0" w:color="auto"/>
            <w:right w:val="none" w:sz="0" w:space="0" w:color="auto"/>
          </w:divBdr>
        </w:div>
        <w:div w:id="1315181270">
          <w:marLeft w:val="360"/>
          <w:marRight w:val="0"/>
          <w:marTop w:val="200"/>
          <w:marBottom w:val="0"/>
          <w:divBdr>
            <w:top w:val="none" w:sz="0" w:space="0" w:color="auto"/>
            <w:left w:val="none" w:sz="0" w:space="0" w:color="auto"/>
            <w:bottom w:val="none" w:sz="0" w:space="0" w:color="auto"/>
            <w:right w:val="none" w:sz="0" w:space="0" w:color="auto"/>
          </w:divBdr>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3587267">
      <w:bodyDiv w:val="1"/>
      <w:marLeft w:val="0"/>
      <w:marRight w:val="0"/>
      <w:marTop w:val="0"/>
      <w:marBottom w:val="0"/>
      <w:divBdr>
        <w:top w:val="none" w:sz="0" w:space="0" w:color="auto"/>
        <w:left w:val="none" w:sz="0" w:space="0" w:color="auto"/>
        <w:bottom w:val="none" w:sz="0" w:space="0" w:color="auto"/>
        <w:right w:val="none" w:sz="0" w:space="0" w:color="auto"/>
      </w:divBdr>
      <w:divsChild>
        <w:div w:id="68044207">
          <w:marLeft w:val="979"/>
          <w:marRight w:val="0"/>
          <w:marTop w:val="0"/>
          <w:marBottom w:val="0"/>
          <w:divBdr>
            <w:top w:val="none" w:sz="0" w:space="0" w:color="auto"/>
            <w:left w:val="none" w:sz="0" w:space="0" w:color="auto"/>
            <w:bottom w:val="none" w:sz="0" w:space="0" w:color="auto"/>
            <w:right w:val="none" w:sz="0" w:space="0" w:color="auto"/>
          </w:divBdr>
        </w:div>
        <w:div w:id="279457043">
          <w:marLeft w:val="979"/>
          <w:marRight w:val="0"/>
          <w:marTop w:val="0"/>
          <w:marBottom w:val="0"/>
          <w:divBdr>
            <w:top w:val="none" w:sz="0" w:space="0" w:color="auto"/>
            <w:left w:val="none" w:sz="0" w:space="0" w:color="auto"/>
            <w:bottom w:val="none" w:sz="0" w:space="0" w:color="auto"/>
            <w:right w:val="none" w:sz="0" w:space="0" w:color="auto"/>
          </w:divBdr>
        </w:div>
        <w:div w:id="292487356">
          <w:marLeft w:val="547"/>
          <w:marRight w:val="0"/>
          <w:marTop w:val="0"/>
          <w:marBottom w:val="0"/>
          <w:divBdr>
            <w:top w:val="none" w:sz="0" w:space="0" w:color="auto"/>
            <w:left w:val="none" w:sz="0" w:space="0" w:color="auto"/>
            <w:bottom w:val="none" w:sz="0" w:space="0" w:color="auto"/>
            <w:right w:val="none" w:sz="0" w:space="0" w:color="auto"/>
          </w:divBdr>
        </w:div>
        <w:div w:id="666132370">
          <w:marLeft w:val="979"/>
          <w:marRight w:val="0"/>
          <w:marTop w:val="0"/>
          <w:marBottom w:val="0"/>
          <w:divBdr>
            <w:top w:val="none" w:sz="0" w:space="0" w:color="auto"/>
            <w:left w:val="none" w:sz="0" w:space="0" w:color="auto"/>
            <w:bottom w:val="none" w:sz="0" w:space="0" w:color="auto"/>
            <w:right w:val="none" w:sz="0" w:space="0" w:color="auto"/>
          </w:divBdr>
        </w:div>
        <w:div w:id="754086276">
          <w:marLeft w:val="979"/>
          <w:marRight w:val="0"/>
          <w:marTop w:val="0"/>
          <w:marBottom w:val="0"/>
          <w:divBdr>
            <w:top w:val="none" w:sz="0" w:space="0" w:color="auto"/>
            <w:left w:val="none" w:sz="0" w:space="0" w:color="auto"/>
            <w:bottom w:val="none" w:sz="0" w:space="0" w:color="auto"/>
            <w:right w:val="none" w:sz="0" w:space="0" w:color="auto"/>
          </w:divBdr>
        </w:div>
        <w:div w:id="985163446">
          <w:marLeft w:val="979"/>
          <w:marRight w:val="0"/>
          <w:marTop w:val="0"/>
          <w:marBottom w:val="0"/>
          <w:divBdr>
            <w:top w:val="none" w:sz="0" w:space="0" w:color="auto"/>
            <w:left w:val="none" w:sz="0" w:space="0" w:color="auto"/>
            <w:bottom w:val="none" w:sz="0" w:space="0" w:color="auto"/>
            <w:right w:val="none" w:sz="0" w:space="0" w:color="auto"/>
          </w:divBdr>
        </w:div>
        <w:div w:id="1023437725">
          <w:marLeft w:val="979"/>
          <w:marRight w:val="0"/>
          <w:marTop w:val="0"/>
          <w:marBottom w:val="0"/>
          <w:divBdr>
            <w:top w:val="none" w:sz="0" w:space="0" w:color="auto"/>
            <w:left w:val="none" w:sz="0" w:space="0" w:color="auto"/>
            <w:bottom w:val="none" w:sz="0" w:space="0" w:color="auto"/>
            <w:right w:val="none" w:sz="0" w:space="0" w:color="auto"/>
          </w:divBdr>
        </w:div>
        <w:div w:id="1318388208">
          <w:marLeft w:val="547"/>
          <w:marRight w:val="0"/>
          <w:marTop w:val="0"/>
          <w:marBottom w:val="0"/>
          <w:divBdr>
            <w:top w:val="none" w:sz="0" w:space="0" w:color="auto"/>
            <w:left w:val="none" w:sz="0" w:space="0" w:color="auto"/>
            <w:bottom w:val="none" w:sz="0" w:space="0" w:color="auto"/>
            <w:right w:val="none" w:sz="0" w:space="0" w:color="auto"/>
          </w:divBdr>
        </w:div>
        <w:div w:id="2000889735">
          <w:marLeft w:val="979"/>
          <w:marRight w:val="0"/>
          <w:marTop w:val="0"/>
          <w:marBottom w:val="0"/>
          <w:divBdr>
            <w:top w:val="none" w:sz="0" w:space="0" w:color="auto"/>
            <w:left w:val="none" w:sz="0" w:space="0" w:color="auto"/>
            <w:bottom w:val="none" w:sz="0" w:space="0" w:color="auto"/>
            <w:right w:val="none" w:sz="0" w:space="0" w:color="auto"/>
          </w:divBdr>
        </w:div>
        <w:div w:id="2009823351">
          <w:marLeft w:val="979"/>
          <w:marRight w:val="0"/>
          <w:marTop w:val="0"/>
          <w:marBottom w:val="0"/>
          <w:divBdr>
            <w:top w:val="none" w:sz="0" w:space="0" w:color="auto"/>
            <w:left w:val="none" w:sz="0" w:space="0" w:color="auto"/>
            <w:bottom w:val="none" w:sz="0" w:space="0" w:color="auto"/>
            <w:right w:val="none" w:sz="0" w:space="0" w:color="auto"/>
          </w:divBdr>
        </w:div>
        <w:div w:id="2076928267">
          <w:marLeft w:val="979"/>
          <w:marRight w:val="0"/>
          <w:marTop w:val="0"/>
          <w:marBottom w:val="0"/>
          <w:divBdr>
            <w:top w:val="none" w:sz="0" w:space="0" w:color="auto"/>
            <w:left w:val="none" w:sz="0" w:space="0" w:color="auto"/>
            <w:bottom w:val="none" w:sz="0" w:space="0" w:color="auto"/>
            <w:right w:val="none" w:sz="0" w:space="0" w:color="auto"/>
          </w:divBdr>
        </w:div>
      </w:divsChild>
    </w:div>
    <w:div w:id="405306528">
      <w:bodyDiv w:val="1"/>
      <w:marLeft w:val="0"/>
      <w:marRight w:val="0"/>
      <w:marTop w:val="0"/>
      <w:marBottom w:val="0"/>
      <w:divBdr>
        <w:top w:val="none" w:sz="0" w:space="0" w:color="auto"/>
        <w:left w:val="none" w:sz="0" w:space="0" w:color="auto"/>
        <w:bottom w:val="none" w:sz="0" w:space="0" w:color="auto"/>
        <w:right w:val="none" w:sz="0" w:space="0" w:color="auto"/>
      </w:divBdr>
    </w:div>
    <w:div w:id="454786886">
      <w:bodyDiv w:val="1"/>
      <w:marLeft w:val="0"/>
      <w:marRight w:val="0"/>
      <w:marTop w:val="0"/>
      <w:marBottom w:val="0"/>
      <w:divBdr>
        <w:top w:val="none" w:sz="0" w:space="0" w:color="auto"/>
        <w:left w:val="none" w:sz="0" w:space="0" w:color="auto"/>
        <w:bottom w:val="none" w:sz="0" w:space="0" w:color="auto"/>
        <w:right w:val="none" w:sz="0" w:space="0" w:color="auto"/>
      </w:divBdr>
    </w:div>
    <w:div w:id="546456588">
      <w:bodyDiv w:val="1"/>
      <w:marLeft w:val="0"/>
      <w:marRight w:val="0"/>
      <w:marTop w:val="0"/>
      <w:marBottom w:val="0"/>
      <w:divBdr>
        <w:top w:val="none" w:sz="0" w:space="0" w:color="auto"/>
        <w:left w:val="none" w:sz="0" w:space="0" w:color="auto"/>
        <w:bottom w:val="none" w:sz="0" w:space="0" w:color="auto"/>
        <w:right w:val="none" w:sz="0" w:space="0" w:color="auto"/>
      </w:divBdr>
      <w:divsChild>
        <w:div w:id="1308170106">
          <w:marLeft w:val="1080"/>
          <w:marRight w:val="0"/>
          <w:marTop w:val="100"/>
          <w:marBottom w:val="0"/>
          <w:divBdr>
            <w:top w:val="none" w:sz="0" w:space="0" w:color="auto"/>
            <w:left w:val="none" w:sz="0" w:space="0" w:color="auto"/>
            <w:bottom w:val="none" w:sz="0" w:space="0" w:color="auto"/>
            <w:right w:val="none" w:sz="0" w:space="0" w:color="auto"/>
          </w:divBdr>
        </w:div>
      </w:divsChild>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62512215">
      <w:bodyDiv w:val="1"/>
      <w:marLeft w:val="0"/>
      <w:marRight w:val="0"/>
      <w:marTop w:val="0"/>
      <w:marBottom w:val="0"/>
      <w:divBdr>
        <w:top w:val="none" w:sz="0" w:space="0" w:color="auto"/>
        <w:left w:val="none" w:sz="0" w:space="0" w:color="auto"/>
        <w:bottom w:val="none" w:sz="0" w:space="0" w:color="auto"/>
        <w:right w:val="none" w:sz="0" w:space="0" w:color="auto"/>
      </w:divBdr>
    </w:div>
    <w:div w:id="695736707">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0006562">
      <w:bodyDiv w:val="1"/>
      <w:marLeft w:val="0"/>
      <w:marRight w:val="0"/>
      <w:marTop w:val="0"/>
      <w:marBottom w:val="0"/>
      <w:divBdr>
        <w:top w:val="none" w:sz="0" w:space="0" w:color="auto"/>
        <w:left w:val="none" w:sz="0" w:space="0" w:color="auto"/>
        <w:bottom w:val="none" w:sz="0" w:space="0" w:color="auto"/>
        <w:right w:val="none" w:sz="0" w:space="0" w:color="auto"/>
      </w:divBdr>
      <w:divsChild>
        <w:div w:id="1402289124">
          <w:marLeft w:val="360"/>
          <w:marRight w:val="0"/>
          <w:marTop w:val="200"/>
          <w:marBottom w:val="0"/>
          <w:divBdr>
            <w:top w:val="none" w:sz="0" w:space="0" w:color="auto"/>
            <w:left w:val="none" w:sz="0" w:space="0" w:color="auto"/>
            <w:bottom w:val="none" w:sz="0" w:space="0" w:color="auto"/>
            <w:right w:val="none" w:sz="0" w:space="0" w:color="auto"/>
          </w:divBdr>
        </w:div>
      </w:divsChild>
    </w:div>
    <w:div w:id="892933920">
      <w:bodyDiv w:val="1"/>
      <w:marLeft w:val="0"/>
      <w:marRight w:val="0"/>
      <w:marTop w:val="0"/>
      <w:marBottom w:val="0"/>
      <w:divBdr>
        <w:top w:val="none" w:sz="0" w:space="0" w:color="auto"/>
        <w:left w:val="none" w:sz="0" w:space="0" w:color="auto"/>
        <w:bottom w:val="none" w:sz="0" w:space="0" w:color="auto"/>
        <w:right w:val="none" w:sz="0" w:space="0" w:color="auto"/>
      </w:divBdr>
      <w:divsChild>
        <w:div w:id="22290526">
          <w:marLeft w:val="720"/>
          <w:marRight w:val="0"/>
          <w:marTop w:val="0"/>
          <w:marBottom w:val="0"/>
          <w:divBdr>
            <w:top w:val="none" w:sz="0" w:space="0" w:color="auto"/>
            <w:left w:val="none" w:sz="0" w:space="0" w:color="auto"/>
            <w:bottom w:val="none" w:sz="0" w:space="0" w:color="auto"/>
            <w:right w:val="none" w:sz="0" w:space="0" w:color="auto"/>
          </w:divBdr>
        </w:div>
        <w:div w:id="81488726">
          <w:marLeft w:val="720"/>
          <w:marRight w:val="0"/>
          <w:marTop w:val="0"/>
          <w:marBottom w:val="0"/>
          <w:divBdr>
            <w:top w:val="none" w:sz="0" w:space="0" w:color="auto"/>
            <w:left w:val="none" w:sz="0" w:space="0" w:color="auto"/>
            <w:bottom w:val="none" w:sz="0" w:space="0" w:color="auto"/>
            <w:right w:val="none" w:sz="0" w:space="0" w:color="auto"/>
          </w:divBdr>
        </w:div>
        <w:div w:id="386414066">
          <w:marLeft w:val="720"/>
          <w:marRight w:val="0"/>
          <w:marTop w:val="0"/>
          <w:marBottom w:val="0"/>
          <w:divBdr>
            <w:top w:val="none" w:sz="0" w:space="0" w:color="auto"/>
            <w:left w:val="none" w:sz="0" w:space="0" w:color="auto"/>
            <w:bottom w:val="none" w:sz="0" w:space="0" w:color="auto"/>
            <w:right w:val="none" w:sz="0" w:space="0" w:color="auto"/>
          </w:divBdr>
        </w:div>
        <w:div w:id="480463469">
          <w:marLeft w:val="720"/>
          <w:marRight w:val="0"/>
          <w:marTop w:val="0"/>
          <w:marBottom w:val="0"/>
          <w:divBdr>
            <w:top w:val="none" w:sz="0" w:space="0" w:color="auto"/>
            <w:left w:val="none" w:sz="0" w:space="0" w:color="auto"/>
            <w:bottom w:val="none" w:sz="0" w:space="0" w:color="auto"/>
            <w:right w:val="none" w:sz="0" w:space="0" w:color="auto"/>
          </w:divBdr>
        </w:div>
        <w:div w:id="1705597438">
          <w:marLeft w:val="720"/>
          <w:marRight w:val="0"/>
          <w:marTop w:val="0"/>
          <w:marBottom w:val="0"/>
          <w:divBdr>
            <w:top w:val="none" w:sz="0" w:space="0" w:color="auto"/>
            <w:left w:val="none" w:sz="0" w:space="0" w:color="auto"/>
            <w:bottom w:val="none" w:sz="0" w:space="0" w:color="auto"/>
            <w:right w:val="none" w:sz="0" w:space="0" w:color="auto"/>
          </w:divBdr>
        </w:div>
        <w:div w:id="2007518520">
          <w:marLeft w:val="720"/>
          <w:marRight w:val="0"/>
          <w:marTop w:val="0"/>
          <w:marBottom w:val="0"/>
          <w:divBdr>
            <w:top w:val="none" w:sz="0" w:space="0" w:color="auto"/>
            <w:left w:val="none" w:sz="0" w:space="0" w:color="auto"/>
            <w:bottom w:val="none" w:sz="0" w:space="0" w:color="auto"/>
            <w:right w:val="none" w:sz="0" w:space="0" w:color="auto"/>
          </w:divBdr>
        </w:div>
      </w:divsChild>
    </w:div>
    <w:div w:id="910778034">
      <w:bodyDiv w:val="1"/>
      <w:marLeft w:val="0"/>
      <w:marRight w:val="0"/>
      <w:marTop w:val="0"/>
      <w:marBottom w:val="0"/>
      <w:divBdr>
        <w:top w:val="none" w:sz="0" w:space="0" w:color="auto"/>
        <w:left w:val="none" w:sz="0" w:space="0" w:color="auto"/>
        <w:bottom w:val="none" w:sz="0" w:space="0" w:color="auto"/>
        <w:right w:val="none" w:sz="0" w:space="0" w:color="auto"/>
      </w:divBdr>
    </w:div>
    <w:div w:id="912160364">
      <w:bodyDiv w:val="1"/>
      <w:marLeft w:val="0"/>
      <w:marRight w:val="0"/>
      <w:marTop w:val="0"/>
      <w:marBottom w:val="0"/>
      <w:divBdr>
        <w:top w:val="none" w:sz="0" w:space="0" w:color="auto"/>
        <w:left w:val="none" w:sz="0" w:space="0" w:color="auto"/>
        <w:bottom w:val="none" w:sz="0" w:space="0" w:color="auto"/>
        <w:right w:val="none" w:sz="0" w:space="0" w:color="auto"/>
      </w:divBdr>
    </w:div>
    <w:div w:id="926428933">
      <w:bodyDiv w:val="1"/>
      <w:marLeft w:val="0"/>
      <w:marRight w:val="0"/>
      <w:marTop w:val="0"/>
      <w:marBottom w:val="0"/>
      <w:divBdr>
        <w:top w:val="none" w:sz="0" w:space="0" w:color="auto"/>
        <w:left w:val="none" w:sz="0" w:space="0" w:color="auto"/>
        <w:bottom w:val="none" w:sz="0" w:space="0" w:color="auto"/>
        <w:right w:val="none" w:sz="0" w:space="0" w:color="auto"/>
      </w:divBdr>
    </w:div>
    <w:div w:id="102841080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3649650">
      <w:bodyDiv w:val="1"/>
      <w:marLeft w:val="0"/>
      <w:marRight w:val="0"/>
      <w:marTop w:val="0"/>
      <w:marBottom w:val="0"/>
      <w:divBdr>
        <w:top w:val="none" w:sz="0" w:space="0" w:color="auto"/>
        <w:left w:val="none" w:sz="0" w:space="0" w:color="auto"/>
        <w:bottom w:val="none" w:sz="0" w:space="0" w:color="auto"/>
        <w:right w:val="none" w:sz="0" w:space="0" w:color="auto"/>
      </w:divBdr>
    </w:div>
    <w:div w:id="1171024458">
      <w:bodyDiv w:val="1"/>
      <w:marLeft w:val="0"/>
      <w:marRight w:val="0"/>
      <w:marTop w:val="0"/>
      <w:marBottom w:val="0"/>
      <w:divBdr>
        <w:top w:val="none" w:sz="0" w:space="0" w:color="auto"/>
        <w:left w:val="none" w:sz="0" w:space="0" w:color="auto"/>
        <w:bottom w:val="none" w:sz="0" w:space="0" w:color="auto"/>
        <w:right w:val="none" w:sz="0" w:space="0" w:color="auto"/>
      </w:divBdr>
      <w:divsChild>
        <w:div w:id="872419872">
          <w:marLeft w:val="0"/>
          <w:marRight w:val="0"/>
          <w:marTop w:val="0"/>
          <w:marBottom w:val="0"/>
          <w:divBdr>
            <w:top w:val="none" w:sz="0" w:space="0" w:color="auto"/>
            <w:left w:val="none" w:sz="0" w:space="0" w:color="auto"/>
            <w:bottom w:val="single" w:sz="6" w:space="0" w:color="EEEEEE"/>
            <w:right w:val="none" w:sz="0" w:space="0" w:color="auto"/>
          </w:divBdr>
        </w:div>
        <w:div w:id="1256134616">
          <w:marLeft w:val="0"/>
          <w:marRight w:val="0"/>
          <w:marTop w:val="0"/>
          <w:marBottom w:val="0"/>
          <w:divBdr>
            <w:top w:val="none" w:sz="0" w:space="0" w:color="auto"/>
            <w:left w:val="none" w:sz="0" w:space="0" w:color="auto"/>
            <w:bottom w:val="none" w:sz="0" w:space="0" w:color="auto"/>
            <w:right w:val="none" w:sz="0" w:space="0" w:color="auto"/>
          </w:divBdr>
          <w:divsChild>
            <w:div w:id="1632057380">
              <w:marLeft w:val="0"/>
              <w:marRight w:val="0"/>
              <w:marTop w:val="0"/>
              <w:marBottom w:val="0"/>
              <w:divBdr>
                <w:top w:val="none" w:sz="0" w:space="0" w:color="auto"/>
                <w:left w:val="none" w:sz="0" w:space="0" w:color="auto"/>
                <w:bottom w:val="none" w:sz="0" w:space="0" w:color="auto"/>
                <w:right w:val="none" w:sz="0" w:space="0" w:color="auto"/>
              </w:divBdr>
              <w:divsChild>
                <w:div w:id="1479809472">
                  <w:marLeft w:val="0"/>
                  <w:marRight w:val="0"/>
                  <w:marTop w:val="0"/>
                  <w:marBottom w:val="0"/>
                  <w:divBdr>
                    <w:top w:val="single" w:sz="12" w:space="0" w:color="000000"/>
                    <w:left w:val="none" w:sz="0" w:space="0" w:color="auto"/>
                    <w:bottom w:val="none" w:sz="0" w:space="0" w:color="auto"/>
                    <w:right w:val="none" w:sz="0" w:space="0" w:color="auto"/>
                  </w:divBdr>
                  <w:divsChild>
                    <w:div w:id="15913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7127">
      <w:bodyDiv w:val="1"/>
      <w:marLeft w:val="0"/>
      <w:marRight w:val="0"/>
      <w:marTop w:val="0"/>
      <w:marBottom w:val="0"/>
      <w:divBdr>
        <w:top w:val="none" w:sz="0" w:space="0" w:color="auto"/>
        <w:left w:val="none" w:sz="0" w:space="0" w:color="auto"/>
        <w:bottom w:val="none" w:sz="0" w:space="0" w:color="auto"/>
        <w:right w:val="none" w:sz="0" w:space="0" w:color="auto"/>
      </w:divBdr>
    </w:div>
    <w:div w:id="1199852021">
      <w:bodyDiv w:val="1"/>
      <w:marLeft w:val="0"/>
      <w:marRight w:val="0"/>
      <w:marTop w:val="0"/>
      <w:marBottom w:val="0"/>
      <w:divBdr>
        <w:top w:val="none" w:sz="0" w:space="0" w:color="auto"/>
        <w:left w:val="none" w:sz="0" w:space="0" w:color="auto"/>
        <w:bottom w:val="none" w:sz="0" w:space="0" w:color="auto"/>
        <w:right w:val="none" w:sz="0" w:space="0" w:color="auto"/>
      </w:divBdr>
    </w:div>
    <w:div w:id="1210915228">
      <w:bodyDiv w:val="1"/>
      <w:marLeft w:val="0"/>
      <w:marRight w:val="0"/>
      <w:marTop w:val="0"/>
      <w:marBottom w:val="0"/>
      <w:divBdr>
        <w:top w:val="none" w:sz="0" w:space="0" w:color="auto"/>
        <w:left w:val="none" w:sz="0" w:space="0" w:color="auto"/>
        <w:bottom w:val="none" w:sz="0" w:space="0" w:color="auto"/>
        <w:right w:val="none" w:sz="0" w:space="0" w:color="auto"/>
      </w:divBdr>
    </w:div>
    <w:div w:id="1295870492">
      <w:bodyDiv w:val="1"/>
      <w:marLeft w:val="0"/>
      <w:marRight w:val="0"/>
      <w:marTop w:val="0"/>
      <w:marBottom w:val="0"/>
      <w:divBdr>
        <w:top w:val="none" w:sz="0" w:space="0" w:color="auto"/>
        <w:left w:val="none" w:sz="0" w:space="0" w:color="auto"/>
        <w:bottom w:val="none" w:sz="0" w:space="0" w:color="auto"/>
        <w:right w:val="none" w:sz="0" w:space="0" w:color="auto"/>
      </w:divBdr>
      <w:divsChild>
        <w:div w:id="1275863725">
          <w:marLeft w:val="360"/>
          <w:marRight w:val="0"/>
          <w:marTop w:val="200"/>
          <w:marBottom w:val="0"/>
          <w:divBdr>
            <w:top w:val="none" w:sz="0" w:space="0" w:color="auto"/>
            <w:left w:val="none" w:sz="0" w:space="0" w:color="auto"/>
            <w:bottom w:val="none" w:sz="0" w:space="0" w:color="auto"/>
            <w:right w:val="none" w:sz="0" w:space="0" w:color="auto"/>
          </w:divBdr>
        </w:div>
      </w:divsChild>
    </w:div>
    <w:div w:id="1321272870">
      <w:bodyDiv w:val="1"/>
      <w:marLeft w:val="0"/>
      <w:marRight w:val="0"/>
      <w:marTop w:val="0"/>
      <w:marBottom w:val="0"/>
      <w:divBdr>
        <w:top w:val="none" w:sz="0" w:space="0" w:color="auto"/>
        <w:left w:val="none" w:sz="0" w:space="0" w:color="auto"/>
        <w:bottom w:val="none" w:sz="0" w:space="0" w:color="auto"/>
        <w:right w:val="none" w:sz="0" w:space="0" w:color="auto"/>
      </w:divBdr>
    </w:div>
    <w:div w:id="1322201729">
      <w:bodyDiv w:val="1"/>
      <w:marLeft w:val="0"/>
      <w:marRight w:val="0"/>
      <w:marTop w:val="0"/>
      <w:marBottom w:val="0"/>
      <w:divBdr>
        <w:top w:val="none" w:sz="0" w:space="0" w:color="auto"/>
        <w:left w:val="none" w:sz="0" w:space="0" w:color="auto"/>
        <w:bottom w:val="none" w:sz="0" w:space="0" w:color="auto"/>
        <w:right w:val="none" w:sz="0" w:space="0" w:color="auto"/>
      </w:divBdr>
    </w:div>
    <w:div w:id="1353264597">
      <w:bodyDiv w:val="1"/>
      <w:marLeft w:val="0"/>
      <w:marRight w:val="0"/>
      <w:marTop w:val="0"/>
      <w:marBottom w:val="0"/>
      <w:divBdr>
        <w:top w:val="none" w:sz="0" w:space="0" w:color="auto"/>
        <w:left w:val="none" w:sz="0" w:space="0" w:color="auto"/>
        <w:bottom w:val="none" w:sz="0" w:space="0" w:color="auto"/>
        <w:right w:val="none" w:sz="0" w:space="0" w:color="auto"/>
      </w:divBdr>
    </w:div>
    <w:div w:id="137889077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66309558">
      <w:bodyDiv w:val="1"/>
      <w:marLeft w:val="0"/>
      <w:marRight w:val="0"/>
      <w:marTop w:val="0"/>
      <w:marBottom w:val="0"/>
      <w:divBdr>
        <w:top w:val="none" w:sz="0" w:space="0" w:color="auto"/>
        <w:left w:val="none" w:sz="0" w:space="0" w:color="auto"/>
        <w:bottom w:val="none" w:sz="0" w:space="0" w:color="auto"/>
        <w:right w:val="none" w:sz="0" w:space="0" w:color="auto"/>
      </w:divBdr>
    </w:div>
    <w:div w:id="1503743981">
      <w:bodyDiv w:val="1"/>
      <w:marLeft w:val="0"/>
      <w:marRight w:val="0"/>
      <w:marTop w:val="0"/>
      <w:marBottom w:val="0"/>
      <w:divBdr>
        <w:top w:val="none" w:sz="0" w:space="0" w:color="auto"/>
        <w:left w:val="none" w:sz="0" w:space="0" w:color="auto"/>
        <w:bottom w:val="none" w:sz="0" w:space="0" w:color="auto"/>
        <w:right w:val="none" w:sz="0" w:space="0" w:color="auto"/>
      </w:divBdr>
      <w:divsChild>
        <w:div w:id="993919915">
          <w:marLeft w:val="0"/>
          <w:marRight w:val="0"/>
          <w:marTop w:val="0"/>
          <w:marBottom w:val="0"/>
          <w:divBdr>
            <w:top w:val="none" w:sz="0" w:space="0" w:color="auto"/>
            <w:left w:val="none" w:sz="0" w:space="0" w:color="auto"/>
            <w:bottom w:val="none" w:sz="0" w:space="0" w:color="auto"/>
            <w:right w:val="none" w:sz="0" w:space="0" w:color="auto"/>
          </w:divBdr>
        </w:div>
        <w:div w:id="1327510176">
          <w:marLeft w:val="0"/>
          <w:marRight w:val="0"/>
          <w:marTop w:val="0"/>
          <w:marBottom w:val="0"/>
          <w:divBdr>
            <w:top w:val="none" w:sz="0" w:space="0" w:color="auto"/>
            <w:left w:val="none" w:sz="0" w:space="0" w:color="auto"/>
            <w:bottom w:val="none" w:sz="0" w:space="0" w:color="auto"/>
            <w:right w:val="none" w:sz="0" w:space="0" w:color="auto"/>
          </w:divBdr>
        </w:div>
        <w:div w:id="990213310">
          <w:marLeft w:val="0"/>
          <w:marRight w:val="0"/>
          <w:marTop w:val="0"/>
          <w:marBottom w:val="0"/>
          <w:divBdr>
            <w:top w:val="none" w:sz="0" w:space="0" w:color="auto"/>
            <w:left w:val="none" w:sz="0" w:space="0" w:color="auto"/>
            <w:bottom w:val="none" w:sz="0" w:space="0" w:color="auto"/>
            <w:right w:val="none" w:sz="0" w:space="0" w:color="auto"/>
          </w:divBdr>
        </w:div>
        <w:div w:id="952249880">
          <w:marLeft w:val="0"/>
          <w:marRight w:val="0"/>
          <w:marTop w:val="0"/>
          <w:marBottom w:val="0"/>
          <w:divBdr>
            <w:top w:val="none" w:sz="0" w:space="0" w:color="auto"/>
            <w:left w:val="none" w:sz="0" w:space="0" w:color="auto"/>
            <w:bottom w:val="none" w:sz="0" w:space="0" w:color="auto"/>
            <w:right w:val="none" w:sz="0" w:space="0" w:color="auto"/>
          </w:divBdr>
        </w:div>
        <w:div w:id="1365323268">
          <w:marLeft w:val="0"/>
          <w:marRight w:val="0"/>
          <w:marTop w:val="0"/>
          <w:marBottom w:val="0"/>
          <w:divBdr>
            <w:top w:val="none" w:sz="0" w:space="0" w:color="auto"/>
            <w:left w:val="none" w:sz="0" w:space="0" w:color="auto"/>
            <w:bottom w:val="none" w:sz="0" w:space="0" w:color="auto"/>
            <w:right w:val="none" w:sz="0" w:space="0" w:color="auto"/>
          </w:divBdr>
        </w:div>
      </w:divsChild>
    </w:div>
    <w:div w:id="1583953651">
      <w:bodyDiv w:val="1"/>
      <w:marLeft w:val="0"/>
      <w:marRight w:val="0"/>
      <w:marTop w:val="0"/>
      <w:marBottom w:val="0"/>
      <w:divBdr>
        <w:top w:val="none" w:sz="0" w:space="0" w:color="auto"/>
        <w:left w:val="none" w:sz="0" w:space="0" w:color="auto"/>
        <w:bottom w:val="none" w:sz="0" w:space="0" w:color="auto"/>
        <w:right w:val="none" w:sz="0" w:space="0" w:color="auto"/>
      </w:divBdr>
      <w:divsChild>
        <w:div w:id="393700969">
          <w:marLeft w:val="0"/>
          <w:marRight w:val="0"/>
          <w:marTop w:val="0"/>
          <w:marBottom w:val="0"/>
          <w:divBdr>
            <w:top w:val="none" w:sz="0" w:space="0" w:color="auto"/>
            <w:left w:val="none" w:sz="0" w:space="0" w:color="auto"/>
            <w:bottom w:val="none" w:sz="0" w:space="0" w:color="auto"/>
            <w:right w:val="none" w:sz="0" w:space="0" w:color="auto"/>
          </w:divBdr>
        </w:div>
      </w:divsChild>
    </w:div>
    <w:div w:id="1700427341">
      <w:bodyDiv w:val="1"/>
      <w:marLeft w:val="0"/>
      <w:marRight w:val="0"/>
      <w:marTop w:val="0"/>
      <w:marBottom w:val="0"/>
      <w:divBdr>
        <w:top w:val="none" w:sz="0" w:space="0" w:color="auto"/>
        <w:left w:val="none" w:sz="0" w:space="0" w:color="auto"/>
        <w:bottom w:val="none" w:sz="0" w:space="0" w:color="auto"/>
        <w:right w:val="none" w:sz="0" w:space="0" w:color="auto"/>
      </w:divBdr>
    </w:div>
    <w:div w:id="1774934643">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1194063">
      <w:bodyDiv w:val="1"/>
      <w:marLeft w:val="0"/>
      <w:marRight w:val="0"/>
      <w:marTop w:val="0"/>
      <w:marBottom w:val="0"/>
      <w:divBdr>
        <w:top w:val="none" w:sz="0" w:space="0" w:color="auto"/>
        <w:left w:val="none" w:sz="0" w:space="0" w:color="auto"/>
        <w:bottom w:val="none" w:sz="0" w:space="0" w:color="auto"/>
        <w:right w:val="none" w:sz="0" w:space="0" w:color="auto"/>
      </w:divBdr>
    </w:div>
    <w:div w:id="1870482675">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47274481">
      <w:bodyDiv w:val="1"/>
      <w:marLeft w:val="0"/>
      <w:marRight w:val="0"/>
      <w:marTop w:val="0"/>
      <w:marBottom w:val="0"/>
      <w:divBdr>
        <w:top w:val="none" w:sz="0" w:space="0" w:color="auto"/>
        <w:left w:val="none" w:sz="0" w:space="0" w:color="auto"/>
        <w:bottom w:val="none" w:sz="0" w:space="0" w:color="auto"/>
        <w:right w:val="none" w:sz="0" w:space="0" w:color="auto"/>
      </w:divBdr>
    </w:div>
    <w:div w:id="1981230609">
      <w:bodyDiv w:val="1"/>
      <w:marLeft w:val="0"/>
      <w:marRight w:val="0"/>
      <w:marTop w:val="0"/>
      <w:marBottom w:val="0"/>
      <w:divBdr>
        <w:top w:val="none" w:sz="0" w:space="0" w:color="auto"/>
        <w:left w:val="none" w:sz="0" w:space="0" w:color="auto"/>
        <w:bottom w:val="none" w:sz="0" w:space="0" w:color="auto"/>
        <w:right w:val="none" w:sz="0" w:space="0" w:color="auto"/>
      </w:divBdr>
      <w:divsChild>
        <w:div w:id="26755551">
          <w:marLeft w:val="979"/>
          <w:marRight w:val="0"/>
          <w:marTop w:val="0"/>
          <w:marBottom w:val="0"/>
          <w:divBdr>
            <w:top w:val="none" w:sz="0" w:space="0" w:color="auto"/>
            <w:left w:val="none" w:sz="0" w:space="0" w:color="auto"/>
            <w:bottom w:val="none" w:sz="0" w:space="0" w:color="auto"/>
            <w:right w:val="none" w:sz="0" w:space="0" w:color="auto"/>
          </w:divBdr>
        </w:div>
        <w:div w:id="116487611">
          <w:marLeft w:val="547"/>
          <w:marRight w:val="0"/>
          <w:marTop w:val="0"/>
          <w:marBottom w:val="0"/>
          <w:divBdr>
            <w:top w:val="none" w:sz="0" w:space="0" w:color="auto"/>
            <w:left w:val="none" w:sz="0" w:space="0" w:color="auto"/>
            <w:bottom w:val="none" w:sz="0" w:space="0" w:color="auto"/>
            <w:right w:val="none" w:sz="0" w:space="0" w:color="auto"/>
          </w:divBdr>
        </w:div>
        <w:div w:id="293412619">
          <w:marLeft w:val="979"/>
          <w:marRight w:val="0"/>
          <w:marTop w:val="0"/>
          <w:marBottom w:val="0"/>
          <w:divBdr>
            <w:top w:val="none" w:sz="0" w:space="0" w:color="auto"/>
            <w:left w:val="none" w:sz="0" w:space="0" w:color="auto"/>
            <w:bottom w:val="none" w:sz="0" w:space="0" w:color="auto"/>
            <w:right w:val="none" w:sz="0" w:space="0" w:color="auto"/>
          </w:divBdr>
        </w:div>
        <w:div w:id="325593784">
          <w:marLeft w:val="979"/>
          <w:marRight w:val="0"/>
          <w:marTop w:val="0"/>
          <w:marBottom w:val="0"/>
          <w:divBdr>
            <w:top w:val="none" w:sz="0" w:space="0" w:color="auto"/>
            <w:left w:val="none" w:sz="0" w:space="0" w:color="auto"/>
            <w:bottom w:val="none" w:sz="0" w:space="0" w:color="auto"/>
            <w:right w:val="none" w:sz="0" w:space="0" w:color="auto"/>
          </w:divBdr>
        </w:div>
        <w:div w:id="336079541">
          <w:marLeft w:val="979"/>
          <w:marRight w:val="0"/>
          <w:marTop w:val="0"/>
          <w:marBottom w:val="0"/>
          <w:divBdr>
            <w:top w:val="none" w:sz="0" w:space="0" w:color="auto"/>
            <w:left w:val="none" w:sz="0" w:space="0" w:color="auto"/>
            <w:bottom w:val="none" w:sz="0" w:space="0" w:color="auto"/>
            <w:right w:val="none" w:sz="0" w:space="0" w:color="auto"/>
          </w:divBdr>
        </w:div>
        <w:div w:id="844320372">
          <w:marLeft w:val="979"/>
          <w:marRight w:val="0"/>
          <w:marTop w:val="0"/>
          <w:marBottom w:val="0"/>
          <w:divBdr>
            <w:top w:val="none" w:sz="0" w:space="0" w:color="auto"/>
            <w:left w:val="none" w:sz="0" w:space="0" w:color="auto"/>
            <w:bottom w:val="none" w:sz="0" w:space="0" w:color="auto"/>
            <w:right w:val="none" w:sz="0" w:space="0" w:color="auto"/>
          </w:divBdr>
        </w:div>
        <w:div w:id="985087580">
          <w:marLeft w:val="979"/>
          <w:marRight w:val="0"/>
          <w:marTop w:val="0"/>
          <w:marBottom w:val="0"/>
          <w:divBdr>
            <w:top w:val="none" w:sz="0" w:space="0" w:color="auto"/>
            <w:left w:val="none" w:sz="0" w:space="0" w:color="auto"/>
            <w:bottom w:val="none" w:sz="0" w:space="0" w:color="auto"/>
            <w:right w:val="none" w:sz="0" w:space="0" w:color="auto"/>
          </w:divBdr>
        </w:div>
        <w:div w:id="1211727675">
          <w:marLeft w:val="979"/>
          <w:marRight w:val="0"/>
          <w:marTop w:val="0"/>
          <w:marBottom w:val="0"/>
          <w:divBdr>
            <w:top w:val="none" w:sz="0" w:space="0" w:color="auto"/>
            <w:left w:val="none" w:sz="0" w:space="0" w:color="auto"/>
            <w:bottom w:val="none" w:sz="0" w:space="0" w:color="auto"/>
            <w:right w:val="none" w:sz="0" w:space="0" w:color="auto"/>
          </w:divBdr>
        </w:div>
        <w:div w:id="1566800295">
          <w:marLeft w:val="547"/>
          <w:marRight w:val="0"/>
          <w:marTop w:val="0"/>
          <w:marBottom w:val="0"/>
          <w:divBdr>
            <w:top w:val="none" w:sz="0" w:space="0" w:color="auto"/>
            <w:left w:val="none" w:sz="0" w:space="0" w:color="auto"/>
            <w:bottom w:val="none" w:sz="0" w:space="0" w:color="auto"/>
            <w:right w:val="none" w:sz="0" w:space="0" w:color="auto"/>
          </w:divBdr>
        </w:div>
        <w:div w:id="2096128135">
          <w:marLeft w:val="979"/>
          <w:marRight w:val="0"/>
          <w:marTop w:val="0"/>
          <w:marBottom w:val="0"/>
          <w:divBdr>
            <w:top w:val="none" w:sz="0" w:space="0" w:color="auto"/>
            <w:left w:val="none" w:sz="0" w:space="0" w:color="auto"/>
            <w:bottom w:val="none" w:sz="0" w:space="0" w:color="auto"/>
            <w:right w:val="none" w:sz="0" w:space="0" w:color="auto"/>
          </w:divBdr>
        </w:div>
        <w:div w:id="2137991270">
          <w:marLeft w:val="979"/>
          <w:marRight w:val="0"/>
          <w:marTop w:val="0"/>
          <w:marBottom w:val="0"/>
          <w:divBdr>
            <w:top w:val="none" w:sz="0" w:space="0" w:color="auto"/>
            <w:left w:val="none" w:sz="0" w:space="0" w:color="auto"/>
            <w:bottom w:val="none" w:sz="0" w:space="0" w:color="auto"/>
            <w:right w:val="none" w:sz="0" w:space="0" w:color="auto"/>
          </w:divBdr>
        </w:div>
      </w:divsChild>
    </w:div>
    <w:div w:id="2104064542">
      <w:bodyDiv w:val="1"/>
      <w:marLeft w:val="0"/>
      <w:marRight w:val="0"/>
      <w:marTop w:val="0"/>
      <w:marBottom w:val="0"/>
      <w:divBdr>
        <w:top w:val="none" w:sz="0" w:space="0" w:color="auto"/>
        <w:left w:val="none" w:sz="0" w:space="0" w:color="auto"/>
        <w:bottom w:val="none" w:sz="0" w:space="0" w:color="auto"/>
        <w:right w:val="none" w:sz="0" w:space="0" w:color="auto"/>
      </w:divBdr>
      <w:divsChild>
        <w:div w:id="3523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ylwester.szczepaniak@mc.gov.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15307C4B2477A418046128EB885694D" ma:contentTypeVersion="4" ma:contentTypeDescription="Utwórz nowy dokument." ma:contentTypeScope="" ma:versionID="0304f58fe8e23f7a3875cf3ee3684270">
  <xsd:schema xmlns:xsd="http://www.w3.org/2001/XMLSchema" xmlns:xs="http://www.w3.org/2001/XMLSchema" xmlns:p="http://schemas.microsoft.com/office/2006/metadata/properties" xmlns:ns2="3a019021-2db9-4573-874a-1cac295e69ae" targetNamespace="http://schemas.microsoft.com/office/2006/metadata/properties" ma:root="true" ma:fieldsID="4bd1b3a913a545726c9edacaa0acba8a" ns2:_="">
    <xsd:import namespace="3a019021-2db9-4573-874a-1cac295e69ae"/>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9021-2db9-4573-874a-1cac295e69a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Słowa kluczowe przedsiębiorstwa"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587efa3e-32b7-45e2-ae4f-619bf42b68e5}" ma:internalName="TaxCatchAll" ma:showField="CatchAllData" ma:web="3a019021-2db9-4573-874a-1cac295e69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019021-2db9-4573-874a-1cac295e69ae">
      <Terms xmlns="http://schemas.microsoft.com/office/infopath/2007/PartnerControls"/>
    </TaxKeywordTaxHTField>
    <TaxCatchAll xmlns="3a019021-2db9-4573-874a-1cac295e69ae"/>
    <_dlc_DocId xmlns="3a019021-2db9-4573-874a-1cac295e69ae">33EXR6SS6JYP-1341998456-974</_dlc_DocId>
    <_dlc_DocIdUrl xmlns="3a019021-2db9-4573-874a-1cac295e69ae">
      <Url>http://docs.mc.gov.pl/proj/edoreczenia/_layouts/15/DocIdRedir.aspx?ID=33EXR6SS6JYP-1341998456-974</Url>
      <Description>33EXR6SS6JYP-1341998456-974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06D0-BAC0-433E-8E71-3D797E51913B}">
  <ds:schemaRefs>
    <ds:schemaRef ds:uri="http://schemas.microsoft.com/sharepoint/events"/>
  </ds:schemaRefs>
</ds:datastoreItem>
</file>

<file path=customXml/itemProps2.xml><?xml version="1.0" encoding="utf-8"?>
<ds:datastoreItem xmlns:ds="http://schemas.openxmlformats.org/officeDocument/2006/customXml" ds:itemID="{96DCC485-E8CB-4058-98C5-6E7B6AF9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9021-2db9-4573-874a-1cac295e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2178D-02D6-402C-A871-DD901F7E6F7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a019021-2db9-4573-874a-1cac295e69a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9B85E47-D834-449E-8765-38DB48EB6DD6}">
  <ds:schemaRefs>
    <ds:schemaRef ds:uri="http://schemas.microsoft.com/sharepoint/v3/contenttype/forms"/>
  </ds:schemaRefs>
</ds:datastoreItem>
</file>

<file path=customXml/itemProps5.xml><?xml version="1.0" encoding="utf-8"?>
<ds:datastoreItem xmlns:ds="http://schemas.openxmlformats.org/officeDocument/2006/customXml" ds:itemID="{68DDF878-C2C1-43CF-B829-9A259DD9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10671</Words>
  <Characters>74597</Characters>
  <Application>Microsoft Office Word</Application>
  <DocSecurity>4</DocSecurity>
  <Lines>621</Lines>
  <Paragraphs>170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85098</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2019-02-19T09:02:00Z</dcterms:created>
  <dcterms:modified xsi:type="dcterms:W3CDTF">2019-02-19T09:02:00Z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0x010100715307C4B2477A418046128EB885694D</vt:lpwstr>
  </property>
  <property fmtid="{D5CDD505-2E9C-101B-9397-08002B2CF9AE}" pid="3" name="_dlc_DocIdItemGuid">
    <vt:lpwstr>ddaa73c4-6583-45ea-890c-d25725a3c5f3</vt:lpwstr>
  </property>
  <property fmtid="{D5CDD505-2E9C-101B-9397-08002B2CF9AE}" pid="4" name="TaxKeyword">
    <vt:lpwstr/>
  </property>
</Properties>
</file>